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E" w:rsidRPr="00BC7334" w:rsidRDefault="006178C7" w:rsidP="00A952AF">
      <w:pPr>
        <w:ind w:right="-1"/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806450" cy="806450"/>
            <wp:effectExtent l="1905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92E" w:rsidRPr="00BC7334" w:rsidRDefault="0063492E" w:rsidP="0063492E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АДМИНИСТРАЦИЯ</w:t>
      </w:r>
    </w:p>
    <w:p w:rsidR="0063492E" w:rsidRDefault="0063492E" w:rsidP="0063492E">
      <w:pPr>
        <w:jc w:val="center"/>
        <w:rPr>
          <w:b/>
          <w:sz w:val="25"/>
          <w:szCs w:val="25"/>
        </w:rPr>
      </w:pPr>
      <w:r w:rsidRPr="00BC7334">
        <w:rPr>
          <w:b/>
          <w:sz w:val="25"/>
          <w:szCs w:val="25"/>
        </w:rPr>
        <w:t>ВЕРХНЕМАМОНСКОГО МУНИЦИПАЛЬНОГО РАЙОНА</w:t>
      </w:r>
    </w:p>
    <w:p w:rsidR="00223493" w:rsidRPr="00BC7334" w:rsidRDefault="00223493" w:rsidP="0063492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6C7D83" w:rsidRDefault="006C7D83" w:rsidP="006C7D83">
      <w:pPr>
        <w:jc w:val="center"/>
        <w:rPr>
          <w:b/>
          <w:sz w:val="25"/>
          <w:szCs w:val="25"/>
        </w:rPr>
      </w:pPr>
    </w:p>
    <w:p w:rsidR="00A952AF" w:rsidRPr="00BC7334" w:rsidRDefault="00A952AF" w:rsidP="006C7D83">
      <w:pPr>
        <w:jc w:val="center"/>
        <w:rPr>
          <w:b/>
          <w:sz w:val="25"/>
          <w:szCs w:val="25"/>
        </w:rPr>
      </w:pPr>
    </w:p>
    <w:p w:rsidR="006C7D83" w:rsidRPr="004609DC" w:rsidRDefault="006C7D83" w:rsidP="006C7D83">
      <w:pPr>
        <w:jc w:val="center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РАСПОРЯЖЕНИЕ</w:t>
      </w:r>
    </w:p>
    <w:p w:rsidR="006C7D83" w:rsidRDefault="006C7D83" w:rsidP="006C7D83">
      <w:pPr>
        <w:jc w:val="center"/>
        <w:rPr>
          <w:b/>
          <w:sz w:val="25"/>
          <w:szCs w:val="25"/>
        </w:rPr>
      </w:pPr>
    </w:p>
    <w:p w:rsidR="00A952AF" w:rsidRPr="00BC7334" w:rsidRDefault="00A952AF" w:rsidP="006C7D83">
      <w:pPr>
        <w:jc w:val="center"/>
        <w:rPr>
          <w:b/>
          <w:sz w:val="25"/>
          <w:szCs w:val="25"/>
        </w:rPr>
      </w:pPr>
    </w:p>
    <w:p w:rsidR="006C7D83" w:rsidRPr="004609DC" w:rsidRDefault="00DD4945" w:rsidP="006C7D8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7D83" w:rsidRPr="004609DC">
        <w:rPr>
          <w:sz w:val="28"/>
          <w:szCs w:val="28"/>
        </w:rPr>
        <w:t>от «</w:t>
      </w:r>
      <w:r w:rsidR="001779AD">
        <w:rPr>
          <w:sz w:val="28"/>
          <w:szCs w:val="28"/>
        </w:rPr>
        <w:t>08</w:t>
      </w:r>
      <w:r w:rsidR="0038133C" w:rsidRPr="004609DC">
        <w:rPr>
          <w:sz w:val="28"/>
          <w:szCs w:val="28"/>
        </w:rPr>
        <w:t xml:space="preserve">» </w:t>
      </w:r>
      <w:r w:rsidR="001779AD">
        <w:rPr>
          <w:sz w:val="28"/>
          <w:szCs w:val="28"/>
        </w:rPr>
        <w:t>февраля</w:t>
      </w:r>
      <w:r w:rsidR="0038133C" w:rsidRPr="00460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7D83" w:rsidRPr="004609DC">
        <w:rPr>
          <w:sz w:val="28"/>
          <w:szCs w:val="28"/>
        </w:rPr>
        <w:t>20</w:t>
      </w:r>
      <w:r w:rsidR="00AC3D4D" w:rsidRPr="004609DC">
        <w:rPr>
          <w:sz w:val="28"/>
          <w:szCs w:val="28"/>
        </w:rPr>
        <w:t>1</w:t>
      </w:r>
      <w:r w:rsidR="00223493">
        <w:rPr>
          <w:sz w:val="28"/>
          <w:szCs w:val="28"/>
        </w:rPr>
        <w:t>9</w:t>
      </w:r>
      <w:r w:rsidR="006C7D83" w:rsidRPr="004609DC">
        <w:rPr>
          <w:sz w:val="28"/>
          <w:szCs w:val="28"/>
        </w:rPr>
        <w:t xml:space="preserve">г.     </w:t>
      </w:r>
      <w:r w:rsidR="00B33071" w:rsidRPr="004609DC">
        <w:rPr>
          <w:sz w:val="28"/>
          <w:szCs w:val="28"/>
        </w:rPr>
        <w:t xml:space="preserve">      </w:t>
      </w:r>
      <w:r w:rsidR="00827648">
        <w:rPr>
          <w:sz w:val="28"/>
          <w:szCs w:val="28"/>
        </w:rPr>
        <w:t xml:space="preserve">         </w:t>
      </w:r>
      <w:r w:rsidR="00B33071" w:rsidRPr="004609DC">
        <w:rPr>
          <w:sz w:val="28"/>
          <w:szCs w:val="28"/>
        </w:rPr>
        <w:t xml:space="preserve">               </w:t>
      </w:r>
      <w:r w:rsidR="00645D2B" w:rsidRPr="004609DC">
        <w:rPr>
          <w:sz w:val="28"/>
          <w:szCs w:val="28"/>
        </w:rPr>
        <w:t xml:space="preserve">         </w:t>
      </w:r>
      <w:r w:rsidR="006C7D83" w:rsidRPr="004609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r w:rsidR="006C7D83" w:rsidRPr="004609DC">
        <w:rPr>
          <w:sz w:val="28"/>
          <w:szCs w:val="28"/>
        </w:rPr>
        <w:t>№</w:t>
      </w:r>
      <w:r w:rsidR="00B33071" w:rsidRPr="004609DC">
        <w:rPr>
          <w:sz w:val="28"/>
          <w:szCs w:val="28"/>
        </w:rPr>
        <w:t xml:space="preserve"> </w:t>
      </w:r>
      <w:r w:rsidR="001779AD">
        <w:rPr>
          <w:sz w:val="28"/>
          <w:szCs w:val="28"/>
        </w:rPr>
        <w:t>43</w:t>
      </w:r>
      <w:r w:rsidR="006D56C2" w:rsidRPr="004609DC">
        <w:rPr>
          <w:sz w:val="28"/>
          <w:szCs w:val="28"/>
        </w:rPr>
        <w:t>-р</w:t>
      </w:r>
    </w:p>
    <w:p w:rsidR="006D56C2" w:rsidRPr="004609DC" w:rsidRDefault="00C76758" w:rsidP="006C7D83">
      <w:pPr>
        <w:rPr>
          <w:sz w:val="28"/>
          <w:szCs w:val="28"/>
        </w:rPr>
      </w:pPr>
      <w:r w:rsidRPr="004609DC">
        <w:rPr>
          <w:sz w:val="28"/>
          <w:szCs w:val="28"/>
        </w:rPr>
        <w:t>-------------</w:t>
      </w:r>
      <w:r w:rsidR="006D56C2" w:rsidRPr="004609DC">
        <w:rPr>
          <w:sz w:val="28"/>
          <w:szCs w:val="28"/>
        </w:rPr>
        <w:t>----</w:t>
      </w:r>
      <w:r w:rsidR="00817FBF" w:rsidRPr="004609DC">
        <w:rPr>
          <w:sz w:val="28"/>
          <w:szCs w:val="28"/>
        </w:rPr>
        <w:t>-------</w:t>
      </w:r>
      <w:r w:rsidR="00827648">
        <w:rPr>
          <w:sz w:val="28"/>
          <w:szCs w:val="28"/>
        </w:rPr>
        <w:t>------------</w:t>
      </w:r>
      <w:r w:rsidR="00817FBF" w:rsidRPr="004609DC">
        <w:rPr>
          <w:sz w:val="28"/>
          <w:szCs w:val="28"/>
        </w:rPr>
        <w:t>--</w:t>
      </w:r>
      <w:r w:rsidR="006D56C2" w:rsidRPr="004609DC">
        <w:rPr>
          <w:sz w:val="28"/>
          <w:szCs w:val="28"/>
        </w:rPr>
        <w:t>----</w:t>
      </w:r>
    </w:p>
    <w:p w:rsidR="006D56C2" w:rsidRPr="004609DC" w:rsidRDefault="00645D2B" w:rsidP="006C7D83">
      <w:pPr>
        <w:rPr>
          <w:sz w:val="28"/>
          <w:szCs w:val="28"/>
        </w:rPr>
      </w:pPr>
      <w:r w:rsidRPr="004609DC">
        <w:rPr>
          <w:sz w:val="28"/>
          <w:szCs w:val="28"/>
        </w:rPr>
        <w:t xml:space="preserve">  </w:t>
      </w:r>
      <w:r w:rsidR="00C76758" w:rsidRPr="004609DC">
        <w:rPr>
          <w:sz w:val="28"/>
          <w:szCs w:val="28"/>
        </w:rPr>
        <w:t xml:space="preserve"> </w:t>
      </w:r>
      <w:r w:rsidR="00827648">
        <w:rPr>
          <w:sz w:val="28"/>
          <w:szCs w:val="28"/>
        </w:rPr>
        <w:t xml:space="preserve">      </w:t>
      </w:r>
      <w:r w:rsidR="00C76758" w:rsidRPr="004609DC">
        <w:rPr>
          <w:sz w:val="28"/>
          <w:szCs w:val="28"/>
        </w:rPr>
        <w:t xml:space="preserve"> </w:t>
      </w:r>
      <w:r w:rsidR="006D56C2" w:rsidRPr="004609DC">
        <w:rPr>
          <w:sz w:val="28"/>
          <w:szCs w:val="28"/>
        </w:rPr>
        <w:t xml:space="preserve"> с</w:t>
      </w:r>
      <w:proofErr w:type="gramStart"/>
      <w:r w:rsidR="006D56C2" w:rsidRPr="004609DC">
        <w:rPr>
          <w:sz w:val="28"/>
          <w:szCs w:val="28"/>
        </w:rPr>
        <w:t>.В</w:t>
      </w:r>
      <w:proofErr w:type="gramEnd"/>
      <w:r w:rsidR="006D56C2" w:rsidRPr="004609DC">
        <w:rPr>
          <w:sz w:val="28"/>
          <w:szCs w:val="28"/>
        </w:rPr>
        <w:t>ерхний Мамон</w:t>
      </w:r>
    </w:p>
    <w:p w:rsidR="006D56C2" w:rsidRPr="004609DC" w:rsidRDefault="006D56C2" w:rsidP="006C7D83">
      <w:pPr>
        <w:rPr>
          <w:sz w:val="28"/>
          <w:szCs w:val="28"/>
        </w:rPr>
      </w:pPr>
    </w:p>
    <w:p w:rsidR="00A952AF" w:rsidRPr="004609DC" w:rsidRDefault="00A952AF" w:rsidP="006C7D83">
      <w:pPr>
        <w:rPr>
          <w:sz w:val="28"/>
          <w:szCs w:val="28"/>
        </w:rPr>
      </w:pPr>
    </w:p>
    <w:p w:rsidR="00691821" w:rsidRPr="00691821" w:rsidRDefault="006C7D83" w:rsidP="00691821">
      <w:pPr>
        <w:ind w:right="4535"/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О</w:t>
      </w:r>
      <w:r w:rsidR="00691821">
        <w:rPr>
          <w:b/>
          <w:sz w:val="28"/>
          <w:szCs w:val="28"/>
        </w:rPr>
        <w:t xml:space="preserve"> </w:t>
      </w:r>
      <w:r w:rsidR="00691821" w:rsidRPr="00691821">
        <w:rPr>
          <w:b/>
          <w:sz w:val="28"/>
          <w:szCs w:val="28"/>
        </w:rPr>
        <w:t>создании и организации системы внутреннего обеспечения</w:t>
      </w:r>
      <w:r w:rsidR="00691821">
        <w:rPr>
          <w:b/>
          <w:sz w:val="28"/>
          <w:szCs w:val="28"/>
        </w:rPr>
        <w:t xml:space="preserve"> </w:t>
      </w:r>
      <w:r w:rsidR="00691821" w:rsidRPr="00691821">
        <w:rPr>
          <w:b/>
          <w:sz w:val="28"/>
          <w:szCs w:val="28"/>
        </w:rPr>
        <w:t>соответствия требования</w:t>
      </w:r>
      <w:r w:rsidR="00691821">
        <w:rPr>
          <w:b/>
          <w:sz w:val="28"/>
          <w:szCs w:val="28"/>
        </w:rPr>
        <w:t xml:space="preserve">м </w:t>
      </w:r>
      <w:r w:rsidR="00691821" w:rsidRPr="00691821">
        <w:rPr>
          <w:b/>
          <w:sz w:val="28"/>
          <w:szCs w:val="28"/>
        </w:rPr>
        <w:t>антимонопольного законодательства</w:t>
      </w:r>
      <w:r w:rsidR="00691821">
        <w:rPr>
          <w:b/>
          <w:sz w:val="28"/>
          <w:szCs w:val="28"/>
        </w:rPr>
        <w:t xml:space="preserve"> </w:t>
      </w:r>
      <w:r w:rsidR="00691821" w:rsidRPr="00691821">
        <w:rPr>
          <w:b/>
          <w:sz w:val="28"/>
          <w:szCs w:val="28"/>
        </w:rPr>
        <w:t xml:space="preserve">деятельности </w:t>
      </w:r>
      <w:r w:rsidR="00691821">
        <w:rPr>
          <w:b/>
          <w:sz w:val="28"/>
          <w:szCs w:val="28"/>
        </w:rPr>
        <w:t xml:space="preserve">органов местного самоуправления Верхнемамонского муниципального района </w:t>
      </w:r>
      <w:r w:rsidR="00691821" w:rsidRPr="00691821">
        <w:rPr>
          <w:b/>
          <w:sz w:val="28"/>
          <w:szCs w:val="28"/>
        </w:rPr>
        <w:t>Воронежской области</w:t>
      </w:r>
    </w:p>
    <w:p w:rsidR="001A08AB" w:rsidRPr="004609DC" w:rsidRDefault="006E5462" w:rsidP="00481E09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</w:t>
      </w:r>
      <w:r w:rsidR="00481E09">
        <w:rPr>
          <w:b/>
          <w:sz w:val="28"/>
          <w:szCs w:val="28"/>
        </w:rPr>
        <w:t>распоряжения от 24.02.2021 г. №52-р)</w:t>
      </w:r>
    </w:p>
    <w:p w:rsidR="00744DD3" w:rsidRPr="004609DC" w:rsidRDefault="00744DD3" w:rsidP="00481E09">
      <w:pPr>
        <w:jc w:val="both"/>
        <w:rPr>
          <w:b/>
          <w:sz w:val="28"/>
          <w:szCs w:val="28"/>
        </w:rPr>
      </w:pP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исполнение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</w:t>
      </w:r>
      <w:r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направлениях государственной политики по развитию конкуренции» и в соответствии с распоряжением Правительства Российской Федерации от 18.10.2018 № 2258-р</w:t>
      </w:r>
      <w:r>
        <w:rPr>
          <w:sz w:val="28"/>
          <w:szCs w:val="28"/>
        </w:rPr>
        <w:t xml:space="preserve"> «</w:t>
      </w:r>
      <w:r w:rsidRPr="00EE6DB6">
        <w:rPr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>», распоряжения правительства Воронежской области от</w:t>
      </w:r>
      <w:r w:rsidR="00C8053A">
        <w:rPr>
          <w:sz w:val="28"/>
          <w:szCs w:val="28"/>
        </w:rPr>
        <w:t xml:space="preserve"> </w:t>
      </w:r>
      <w:r>
        <w:rPr>
          <w:sz w:val="28"/>
          <w:szCs w:val="28"/>
        </w:rPr>
        <w:t>07.02.2019г. № 102-р «</w:t>
      </w:r>
      <w:r w:rsidRPr="00EE6DB6">
        <w:rPr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Воронежской области», в целях принятия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</w:t>
      </w:r>
      <w:r>
        <w:rPr>
          <w:sz w:val="28"/>
          <w:szCs w:val="28"/>
        </w:rPr>
        <w:t xml:space="preserve">органов местного самоуправления Верхнемамонского муниципального района </w:t>
      </w:r>
      <w:r w:rsidRPr="00EE6DB6">
        <w:rPr>
          <w:sz w:val="28"/>
          <w:szCs w:val="28"/>
        </w:rPr>
        <w:t>Воронежской области (далее –</w:t>
      </w:r>
      <w:r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антимонопольный</w:t>
      </w:r>
      <w:r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комплаенс):</w:t>
      </w:r>
    </w:p>
    <w:p w:rsidR="00EE6DB6" w:rsidRDefault="00CB2F8A" w:rsidP="00EE6DB6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DB6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финансового отдела администрации Верхнемамонского муниципального района, отдела по управлению муниципальным имуществом администрации Верхнемамонского муниципального района, отдела по образованию администрации Верхнемамонского муниципального района, отдела по культуре администрации Верхнемамонского муниципального района</w:t>
      </w:r>
      <w:r w:rsidR="00EE6DB6" w:rsidRPr="00EE6DB6">
        <w:rPr>
          <w:sz w:val="28"/>
          <w:szCs w:val="28"/>
        </w:rPr>
        <w:t>:</w:t>
      </w:r>
    </w:p>
    <w:p w:rsidR="00CB2F8A" w:rsidRPr="00EE6DB6" w:rsidRDefault="00CB2F8A" w:rsidP="00EE6DB6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(п.1 в редакции распоряжения от 24.02.2021 г. №52-р)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lastRenderedPageBreak/>
        <w:t>1.1.  В срок до 1</w:t>
      </w:r>
      <w:r w:rsidR="00DD7844">
        <w:rPr>
          <w:sz w:val="28"/>
          <w:szCs w:val="28"/>
        </w:rPr>
        <w:t>5</w:t>
      </w:r>
      <w:r w:rsidRPr="00EE6DB6">
        <w:rPr>
          <w:sz w:val="28"/>
          <w:szCs w:val="28"/>
        </w:rPr>
        <w:t xml:space="preserve"> февраля 2019 года обеспечить издание правового акта о создании и организации антимонопольного комплаенса, который должен содержать:</w:t>
      </w:r>
    </w:p>
    <w:p w:rsidR="00EE6DB6" w:rsidRPr="00EE6DB6" w:rsidRDefault="00EE6DB6" w:rsidP="00EE6DB6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информацию об уполномоченном подразделении (должностных лицах),</w:t>
      </w:r>
      <w:r w:rsidR="001F7BC1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 xml:space="preserve">ответственном за  функционирование антимонопольного комплаенса, и о коллегиальном органе, осуществляющем оценку эффективности его функционирования; </w:t>
      </w:r>
    </w:p>
    <w:p w:rsidR="00EE6DB6" w:rsidRPr="00EE6DB6" w:rsidRDefault="00EE6DB6" w:rsidP="00EE6DB6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порядок выявления и оценки рисков нарушения антимонопольного законодательства при </w:t>
      </w:r>
      <w:r w:rsidR="001F7BC1">
        <w:rPr>
          <w:sz w:val="28"/>
          <w:szCs w:val="28"/>
        </w:rPr>
        <w:t xml:space="preserve">осуществлении </w:t>
      </w:r>
      <w:r w:rsidRPr="00EE6DB6">
        <w:rPr>
          <w:sz w:val="28"/>
          <w:szCs w:val="28"/>
        </w:rPr>
        <w:t xml:space="preserve">своей деятельности; </w:t>
      </w:r>
    </w:p>
    <w:p w:rsidR="00EE6DB6" w:rsidRPr="00EE6DB6" w:rsidRDefault="00EE6DB6" w:rsidP="00EE6DB6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порядок ознакомления </w:t>
      </w:r>
      <w:r w:rsidR="001F7BC1">
        <w:rPr>
          <w:sz w:val="28"/>
          <w:szCs w:val="28"/>
        </w:rPr>
        <w:t>работников</w:t>
      </w:r>
      <w:r w:rsidRPr="00EE6DB6">
        <w:rPr>
          <w:sz w:val="28"/>
          <w:szCs w:val="28"/>
        </w:rPr>
        <w:t xml:space="preserve"> с правовым актом об организации антимонопольного комплаенса;</w:t>
      </w:r>
    </w:p>
    <w:p w:rsidR="00EE6DB6" w:rsidRPr="00EE6DB6" w:rsidRDefault="00EE6DB6" w:rsidP="00EE6DB6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меры, направленные на осуществление контроля за</w:t>
      </w:r>
      <w:r w:rsidR="001F7BC1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функционированием антимонопольного комплаенса;</w:t>
      </w:r>
    </w:p>
    <w:p w:rsidR="00EE6DB6" w:rsidRPr="00EE6DB6" w:rsidRDefault="00EE6DB6" w:rsidP="00EE6DB6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информацию о проведении оценки эффективности организации и функционирования антимонопольного комплаенса</w:t>
      </w:r>
      <w:r w:rsidR="001F7BC1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по установленному перечню показателей (согласно пунктам 28, 30, 31</w:t>
      </w:r>
      <w:r w:rsidR="001F7BC1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распоряжения Правительства Российской Федерации от 18 октября № 2258-р).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Ключевые показатели эффективности антимонопольного комплаенса на очередной год утверждаются руководителем в срок не позднее 1 апреля отчетного года (в 2019 году – не позднее 1 сентября).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Функции коллегиального органа могут быть возложены на общественный совет при </w:t>
      </w:r>
      <w:r w:rsidR="00B64DC9">
        <w:rPr>
          <w:sz w:val="28"/>
          <w:szCs w:val="28"/>
        </w:rPr>
        <w:t>главе Верхнемамонского муниципального района</w:t>
      </w:r>
      <w:r w:rsidRPr="00EE6DB6">
        <w:rPr>
          <w:sz w:val="28"/>
          <w:szCs w:val="28"/>
        </w:rPr>
        <w:t>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Правовой акт об антимонопольном комплаенсе должен быть размещен на официальном сайте </w:t>
      </w:r>
      <w:r w:rsidR="00B64DC9">
        <w:rPr>
          <w:sz w:val="28"/>
          <w:szCs w:val="28"/>
        </w:rPr>
        <w:t xml:space="preserve">органа </w:t>
      </w:r>
      <w:r w:rsidRPr="00EE6DB6">
        <w:rPr>
          <w:sz w:val="28"/>
          <w:szCs w:val="28"/>
        </w:rPr>
        <w:t>в информационно-телекоммуникационной сети «Интернет».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1.2. Ежегодно, начиная с 2020 года, в  срок до 1 февраля года, следующего за отчетным,  направлять  в </w:t>
      </w:r>
      <w:r w:rsidR="008229E6">
        <w:rPr>
          <w:sz w:val="28"/>
          <w:szCs w:val="28"/>
        </w:rPr>
        <w:t>отдел</w:t>
      </w:r>
      <w:r w:rsidRPr="00EE6DB6">
        <w:rPr>
          <w:sz w:val="28"/>
          <w:szCs w:val="28"/>
        </w:rPr>
        <w:t xml:space="preserve"> экономического развития </w:t>
      </w:r>
      <w:r w:rsidR="008229E6">
        <w:rPr>
          <w:sz w:val="28"/>
          <w:szCs w:val="28"/>
        </w:rPr>
        <w:t>администрации Верхнемамонского муниципального района (Гридина С.И.)</w:t>
      </w:r>
      <w:r w:rsidRPr="00EE6DB6">
        <w:rPr>
          <w:sz w:val="28"/>
          <w:szCs w:val="28"/>
        </w:rPr>
        <w:t xml:space="preserve"> Доклад об антимонопольном комплаенсе, содержащий информацию: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– о результатах проведенной оценки рисков нарушения антимонопольного законодательства; 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– об исполнении мероприятий по снижению рисков  нарушения антимонопольного законодательства;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– о достижении ключевых показателей эффективности антимонопольного законодательства.</w:t>
      </w:r>
    </w:p>
    <w:p w:rsid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Доклад об антимонопольном комплаенсе утверждается коллегиальным органом и размещается на официальном сайте.</w:t>
      </w:r>
    </w:p>
    <w:p w:rsidR="00CB2F8A" w:rsidRDefault="00CB2F8A" w:rsidP="00EE6DB6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5A3C">
        <w:rPr>
          <w:sz w:val="28"/>
          <w:szCs w:val="28"/>
        </w:rPr>
        <w:t>твержденный коллегиальным органом докла</w:t>
      </w:r>
      <w:r>
        <w:rPr>
          <w:sz w:val="28"/>
          <w:szCs w:val="28"/>
        </w:rPr>
        <w:t xml:space="preserve">д об антимонопольном </w:t>
      </w:r>
      <w:r w:rsidRPr="00E66671">
        <w:rPr>
          <w:sz w:val="28"/>
          <w:szCs w:val="28"/>
        </w:rPr>
        <w:t>комплаенсе  направляется</w:t>
      </w:r>
      <w:r w:rsidRPr="00915A3C">
        <w:rPr>
          <w:sz w:val="28"/>
          <w:szCs w:val="28"/>
        </w:rPr>
        <w:t xml:space="preserve"> в Департамент экономического развития Воронежской области в срок не позднее 01 февраля года, следующего за отчетным</w:t>
      </w:r>
      <w:r>
        <w:rPr>
          <w:sz w:val="28"/>
          <w:szCs w:val="28"/>
        </w:rPr>
        <w:t>.</w:t>
      </w:r>
    </w:p>
    <w:p w:rsidR="00CB2F8A" w:rsidRPr="00EE6DB6" w:rsidRDefault="00CB2F8A" w:rsidP="00EE6DB6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(абзац 6 введен распоряжением от 24.02.2021 г. №52-р)</w:t>
      </w:r>
    </w:p>
    <w:p w:rsidR="00CB2F8A" w:rsidRPr="00EE6DB6" w:rsidRDefault="00CB2F8A" w:rsidP="00CB2F8A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2. Общий контроль за организацией и функционированием антимонопольного комплаенса возлагается на руководител</w:t>
      </w:r>
      <w:r>
        <w:rPr>
          <w:sz w:val="28"/>
          <w:szCs w:val="28"/>
        </w:rPr>
        <w:t xml:space="preserve">ей </w:t>
      </w:r>
      <w:r w:rsidRPr="00EE6DB6">
        <w:rPr>
          <w:sz w:val="28"/>
          <w:szCs w:val="28"/>
        </w:rPr>
        <w:t xml:space="preserve"> </w:t>
      </w:r>
      <w:r w:rsidRPr="001B5F19">
        <w:rPr>
          <w:sz w:val="28"/>
          <w:szCs w:val="28"/>
        </w:rPr>
        <w:t>финансового отдела администрации Верхнем</w:t>
      </w:r>
      <w:r>
        <w:rPr>
          <w:sz w:val="28"/>
          <w:szCs w:val="28"/>
        </w:rPr>
        <w:t xml:space="preserve">амонского муниципального района, </w:t>
      </w:r>
      <w:r w:rsidRPr="001B5F19">
        <w:rPr>
          <w:sz w:val="28"/>
          <w:szCs w:val="28"/>
        </w:rPr>
        <w:t>отдела по управлению муниципальным имуществом администрации Верхнем</w:t>
      </w:r>
      <w:r>
        <w:rPr>
          <w:sz w:val="28"/>
          <w:szCs w:val="28"/>
        </w:rPr>
        <w:t xml:space="preserve">амонского муниципального района, </w:t>
      </w:r>
      <w:r w:rsidRPr="001B5F19">
        <w:rPr>
          <w:sz w:val="28"/>
          <w:szCs w:val="28"/>
        </w:rPr>
        <w:t>отдела по образованию администрации Верхнема</w:t>
      </w:r>
      <w:r>
        <w:rPr>
          <w:sz w:val="28"/>
          <w:szCs w:val="28"/>
        </w:rPr>
        <w:t xml:space="preserve">монского муниципального района, </w:t>
      </w:r>
      <w:r w:rsidRPr="001B5F19">
        <w:rPr>
          <w:sz w:val="28"/>
          <w:szCs w:val="28"/>
        </w:rPr>
        <w:t xml:space="preserve">отдела по культуре администрации </w:t>
      </w:r>
      <w:r w:rsidRPr="001B5F19">
        <w:rPr>
          <w:sz w:val="28"/>
          <w:szCs w:val="28"/>
        </w:rPr>
        <w:lastRenderedPageBreak/>
        <w:t xml:space="preserve">Верхнемамонского муниципального района </w:t>
      </w:r>
      <w:r w:rsidRPr="00EE6DB6">
        <w:rPr>
          <w:sz w:val="28"/>
          <w:szCs w:val="28"/>
        </w:rPr>
        <w:t xml:space="preserve">с выполнением им следующих функций: </w:t>
      </w:r>
    </w:p>
    <w:p w:rsidR="00CB2F8A" w:rsidRPr="00EE6DB6" w:rsidRDefault="00CB2F8A" w:rsidP="00CB2F8A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введение в действие правового акта об антимонопольном</w:t>
      </w:r>
      <w:r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комплаенсе, внесение в него изменений и дополнений;</w:t>
      </w:r>
    </w:p>
    <w:p w:rsidR="00CB2F8A" w:rsidRPr="00EE6DB6" w:rsidRDefault="00CB2F8A" w:rsidP="00CB2F8A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принятие внутренних документов, регламентирующих функционирование антимонопольного комплаенса; </w:t>
      </w:r>
    </w:p>
    <w:p w:rsidR="00CB2F8A" w:rsidRPr="00EE6DB6" w:rsidRDefault="00CB2F8A" w:rsidP="00CB2F8A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применение предусмотренных законодательством Российской Федерации мер ответственности за несоблюдение </w:t>
      </w:r>
      <w:r>
        <w:rPr>
          <w:sz w:val="28"/>
          <w:szCs w:val="28"/>
        </w:rPr>
        <w:t>работниками</w:t>
      </w:r>
      <w:r w:rsidRPr="00EE6DB6">
        <w:rPr>
          <w:sz w:val="28"/>
          <w:szCs w:val="28"/>
        </w:rPr>
        <w:t xml:space="preserve"> правового акта об антимонопольном</w:t>
      </w:r>
      <w:r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 xml:space="preserve">комплаенсе; </w:t>
      </w:r>
    </w:p>
    <w:p w:rsidR="00CB2F8A" w:rsidRPr="00EE6DB6" w:rsidRDefault="00CB2F8A" w:rsidP="00CB2F8A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рассмотрение материалов, отчетов и результатов периодических оценок эффективности функционирования антимонопольного комплаенса и принятие мер, направленных на устранение выявленных недостатков; </w:t>
      </w:r>
    </w:p>
    <w:p w:rsidR="00CB2F8A" w:rsidRDefault="00CB2F8A" w:rsidP="00CB2F8A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осуществление контроля за устранением выявленных недостатков антимонопольного комплаенса</w:t>
      </w:r>
      <w:r>
        <w:rPr>
          <w:sz w:val="28"/>
          <w:szCs w:val="28"/>
        </w:rPr>
        <w:t>.</w:t>
      </w:r>
    </w:p>
    <w:p w:rsidR="00CB2F8A" w:rsidRDefault="00CB2F8A" w:rsidP="00CB2F8A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(пункт 2 в редакции распоряжения от 24.02.2021 г. №52-р)</w:t>
      </w:r>
      <w:r w:rsidRPr="00EE6DB6">
        <w:rPr>
          <w:sz w:val="28"/>
          <w:szCs w:val="28"/>
        </w:rPr>
        <w:t xml:space="preserve"> </w:t>
      </w:r>
    </w:p>
    <w:p w:rsidR="00EE6DB6" w:rsidRPr="00EE6DB6" w:rsidRDefault="00EE6DB6" w:rsidP="00CB2F8A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3. Уполномоченные подразделения (должностные лица) выполняют следующие функции: 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3.1. Разработка и представление на утверждение руководителю правового акта об антимонопольном</w:t>
      </w:r>
      <w:r w:rsidR="001B5F19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комплаенсе, представление предложений по внесению изменений в указанный акт.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3.2. Разработка внутренних документов, регламентирующих процедуры антимонопольного комплаенса.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3.3. Выявление и проведение не реже одного раза в год анализа выявленных рисков нарушения антимонопольного законодательства, включая:</w:t>
      </w:r>
    </w:p>
    <w:p w:rsidR="00EE6DB6" w:rsidRPr="00EE6DB6" w:rsidRDefault="00EE6DB6" w:rsidP="00EE6DB6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 осуществление сбора сведений</w:t>
      </w:r>
      <w:r w:rsidR="001B5F19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о наличии нарушений антимонопольного законодательства за предыдущие три года;</w:t>
      </w:r>
    </w:p>
    <w:p w:rsidR="00EE6DB6" w:rsidRPr="00EE6DB6" w:rsidRDefault="00EE6DB6" w:rsidP="00EE6DB6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составление перечня нарушений ант</w:t>
      </w:r>
      <w:r w:rsidR="001B5F19">
        <w:rPr>
          <w:sz w:val="28"/>
          <w:szCs w:val="28"/>
        </w:rPr>
        <w:t>имонопольного законодательства</w:t>
      </w:r>
      <w:r w:rsidRPr="00EE6DB6">
        <w:rPr>
          <w:sz w:val="28"/>
          <w:szCs w:val="28"/>
        </w:rPr>
        <w:t>, содержащего сведения о выявленных за последние три года  нарушениях антимонопольного законодательства (отдельно по каждому  нарушению), включая 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сведения о мерах по устранению нарушения, а также мерах, направленных на недопущение повторного нарушения;</w:t>
      </w:r>
    </w:p>
    <w:p w:rsidR="00EE6DB6" w:rsidRPr="00EE6DB6" w:rsidRDefault="00EE6DB6" w:rsidP="00EE6DB6">
      <w:pPr>
        <w:numPr>
          <w:ilvl w:val="0"/>
          <w:numId w:val="4"/>
        </w:numPr>
        <w:ind w:right="-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анализ выявленных нарушений антимонопольного законодательства за предыдущие 3 года (наличие предписаний, штрафов, жалоб, возбужденных дел).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3.4. Проведение не реже одного раза в год </w:t>
      </w:r>
      <w:r w:rsidR="00C83AA2">
        <w:rPr>
          <w:sz w:val="28"/>
          <w:szCs w:val="28"/>
        </w:rPr>
        <w:t>анализа правовых актов</w:t>
      </w:r>
      <w:r w:rsidRPr="00EE6DB6">
        <w:rPr>
          <w:sz w:val="28"/>
          <w:szCs w:val="28"/>
        </w:rPr>
        <w:t xml:space="preserve">, включая:  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– разработку</w:t>
      </w:r>
      <w:r w:rsidR="00C83AA2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и размещение  на официальном сайте в сети «Интернет»</w:t>
      </w:r>
      <w:r w:rsidR="00C83AA2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исчерпывающего перечня действующих нормативных актов, за исключением актов, содержащих сведения, относящиеся к охраняемой законом тайне,  проведение не реже 1 раза в год их  анализа;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– размещение на официальном сайте уведомления о  начале сбора замечаний и предложений  организаций и граждан по перечню актов;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– осуществление сбора  и проведение анализа представленных замечаний и предложений организаций и граждан по перечню актов;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lastRenderedPageBreak/>
        <w:t>– представление руководителю</w:t>
      </w:r>
      <w:r w:rsidR="00C83AA2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 xml:space="preserve">сводного доклада с обоснованием целесообразности  (нецелесообразности) внесения изменений  в нормативные правовые акты </w:t>
      </w:r>
      <w:r w:rsidR="00C83AA2">
        <w:rPr>
          <w:sz w:val="28"/>
          <w:szCs w:val="28"/>
        </w:rPr>
        <w:t xml:space="preserve">администрации Верхнемамонского муниципального района </w:t>
      </w:r>
      <w:r w:rsidRPr="00EE6DB6">
        <w:rPr>
          <w:sz w:val="28"/>
          <w:szCs w:val="28"/>
        </w:rPr>
        <w:t xml:space="preserve"> Воронежской области. 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3.5. Проведение анализа проектов нормативных правовых актов, включая: 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– размещение  на официальном сайте проекта нормативного правового акта  с обоснованием реализации предложенных решений, в том числе их влияния на конкуренцию;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– осуществление сбора и проведение оценки поступивших от организаций  и  граждан замечаний и предложений по проекту нормативного правового акта.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3.6. Проведение мониторинга и анализа практики применения антимонопольного законодательства: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– осуществление на постоянной основе сбора сведений  о правоприменительной практике  в </w:t>
      </w:r>
      <w:r w:rsidR="008D3232">
        <w:rPr>
          <w:sz w:val="28"/>
          <w:szCs w:val="28"/>
        </w:rPr>
        <w:t>органах местного самоуправления Верхнемамонского муниципального района</w:t>
      </w:r>
      <w:proofErr w:type="gramStart"/>
      <w:r w:rsidR="008D3232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;</w:t>
      </w:r>
      <w:proofErr w:type="gramEnd"/>
      <w:r w:rsidRPr="00EE6DB6">
        <w:rPr>
          <w:sz w:val="28"/>
          <w:szCs w:val="28"/>
        </w:rPr>
        <w:t xml:space="preserve"> 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– подготовка аналитической справки об изменениях и основных аспекта</w:t>
      </w:r>
      <w:r w:rsidR="008D3232">
        <w:rPr>
          <w:sz w:val="28"/>
          <w:szCs w:val="28"/>
        </w:rPr>
        <w:t>х правоприменительной практики</w:t>
      </w:r>
      <w:r w:rsidRPr="00EE6DB6">
        <w:rPr>
          <w:sz w:val="28"/>
          <w:szCs w:val="28"/>
        </w:rPr>
        <w:t>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3.7. Оценка рисков нарушения антимонопольного законодательства. 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При выявлении рисков нарушения антимонопольного законодательства составляется карта  комплаенс-рисков</w:t>
      </w:r>
      <w:r w:rsidR="008D3232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по  форме согласно приложению 1 к настоящему распоряжению, включающая распределение рисков по уровням в соответствии с приложением 2 к настоящему распоряжению.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3.8. Разработка</w:t>
      </w:r>
      <w:r w:rsidR="008D3232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 xml:space="preserve">мероприятий по снижению рисков нарушения антимонопольного законодательства и мониторинг их исполнения. 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 xml:space="preserve">3.9. Выявление конфликта интересов в деятельности </w:t>
      </w:r>
      <w:r w:rsidR="008D3232">
        <w:rPr>
          <w:sz w:val="28"/>
          <w:szCs w:val="28"/>
        </w:rPr>
        <w:t>работников</w:t>
      </w:r>
      <w:r w:rsidRPr="00EE6DB6">
        <w:rPr>
          <w:sz w:val="28"/>
          <w:szCs w:val="28"/>
        </w:rPr>
        <w:t>, разработка предложений по их исключению.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3.10. Оценка эффективности функционирования антимонопольного</w:t>
      </w:r>
      <w:r w:rsidR="008D3232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комплаенса.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  <w:r w:rsidRPr="00EE6DB6">
        <w:rPr>
          <w:sz w:val="28"/>
          <w:szCs w:val="28"/>
        </w:rPr>
        <w:t>3.11. Подготовка и представление в коллегиальный орган на утверждение ежегодного Доклада об антимонопольном</w:t>
      </w:r>
      <w:r w:rsidR="008D3232">
        <w:rPr>
          <w:sz w:val="28"/>
          <w:szCs w:val="28"/>
        </w:rPr>
        <w:t xml:space="preserve"> </w:t>
      </w:r>
      <w:r w:rsidRPr="00EE6DB6">
        <w:rPr>
          <w:sz w:val="28"/>
          <w:szCs w:val="28"/>
        </w:rPr>
        <w:t>комплаенсе.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</w:p>
    <w:p w:rsidR="00EE6DB6" w:rsidRPr="00EE6DB6" w:rsidRDefault="006178C7" w:rsidP="00EE6DB6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6DB6" w:rsidRPr="00EE6DB6">
        <w:rPr>
          <w:sz w:val="28"/>
          <w:szCs w:val="28"/>
        </w:rPr>
        <w:t xml:space="preserve">. Контроль за исполнением настоящего распоряжения возложить на </w:t>
      </w:r>
      <w:r>
        <w:rPr>
          <w:sz w:val="28"/>
          <w:szCs w:val="28"/>
        </w:rPr>
        <w:t xml:space="preserve">первого </w:t>
      </w:r>
      <w:r w:rsidR="00EE6DB6" w:rsidRPr="00EE6DB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 администрации Верхнемамонского муниципального района Фалеву Е.И.</w:t>
      </w:r>
    </w:p>
    <w:p w:rsidR="00EE6DB6" w:rsidRPr="00EE6DB6" w:rsidRDefault="00EE6DB6" w:rsidP="00EE6DB6">
      <w:pPr>
        <w:ind w:right="-1" w:firstLine="851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A952AF" w:rsidRPr="004609DC" w:rsidRDefault="00A952AF" w:rsidP="00FA5684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817FBF" w:rsidRPr="004609DC" w:rsidRDefault="00817FBF" w:rsidP="00371D5A">
      <w:pPr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Г</w:t>
      </w:r>
      <w:r w:rsidR="0063492E" w:rsidRPr="004609DC">
        <w:rPr>
          <w:b/>
          <w:sz w:val="28"/>
          <w:szCs w:val="28"/>
        </w:rPr>
        <w:t>лав</w:t>
      </w:r>
      <w:r w:rsidRPr="004609DC">
        <w:rPr>
          <w:b/>
          <w:sz w:val="28"/>
          <w:szCs w:val="28"/>
        </w:rPr>
        <w:t xml:space="preserve">а </w:t>
      </w:r>
      <w:r w:rsidR="00223493">
        <w:rPr>
          <w:b/>
          <w:sz w:val="28"/>
          <w:szCs w:val="28"/>
        </w:rPr>
        <w:t xml:space="preserve">Верхнемамонского </w:t>
      </w:r>
      <w:r w:rsidR="00B106A6" w:rsidRPr="004609DC">
        <w:rPr>
          <w:b/>
          <w:sz w:val="28"/>
          <w:szCs w:val="28"/>
        </w:rPr>
        <w:t xml:space="preserve"> </w:t>
      </w:r>
    </w:p>
    <w:p w:rsidR="00015256" w:rsidRPr="004609DC" w:rsidRDefault="0063492E" w:rsidP="00371D5A">
      <w:pPr>
        <w:jc w:val="both"/>
        <w:rPr>
          <w:b/>
          <w:sz w:val="28"/>
          <w:szCs w:val="28"/>
        </w:rPr>
      </w:pPr>
      <w:r w:rsidRPr="004609DC">
        <w:rPr>
          <w:b/>
          <w:sz w:val="28"/>
          <w:szCs w:val="28"/>
        </w:rPr>
        <w:t>муниципального района</w:t>
      </w:r>
      <w:r w:rsidR="00B106A6" w:rsidRPr="004609DC">
        <w:rPr>
          <w:b/>
          <w:sz w:val="28"/>
          <w:szCs w:val="28"/>
        </w:rPr>
        <w:t xml:space="preserve">    </w:t>
      </w:r>
      <w:r w:rsidRPr="004609DC">
        <w:rPr>
          <w:b/>
          <w:sz w:val="28"/>
          <w:szCs w:val="28"/>
        </w:rPr>
        <w:t xml:space="preserve">                            </w:t>
      </w:r>
      <w:r w:rsidR="00817FBF" w:rsidRPr="004609DC">
        <w:rPr>
          <w:b/>
          <w:sz w:val="28"/>
          <w:szCs w:val="28"/>
        </w:rPr>
        <w:t xml:space="preserve">                   </w:t>
      </w:r>
      <w:r w:rsidRPr="004609DC">
        <w:rPr>
          <w:b/>
          <w:sz w:val="28"/>
          <w:szCs w:val="28"/>
        </w:rPr>
        <w:t xml:space="preserve"> </w:t>
      </w:r>
      <w:r w:rsidR="00817FBF" w:rsidRPr="004609DC">
        <w:rPr>
          <w:b/>
          <w:sz w:val="28"/>
          <w:szCs w:val="28"/>
        </w:rPr>
        <w:t xml:space="preserve">        </w:t>
      </w:r>
      <w:r w:rsidRPr="004609DC">
        <w:rPr>
          <w:b/>
          <w:sz w:val="28"/>
          <w:szCs w:val="28"/>
        </w:rPr>
        <w:t xml:space="preserve">     </w:t>
      </w:r>
      <w:r w:rsidR="00817FBF" w:rsidRPr="004609DC">
        <w:rPr>
          <w:b/>
          <w:sz w:val="28"/>
          <w:szCs w:val="28"/>
        </w:rPr>
        <w:t>Н.И.Быков</w:t>
      </w:r>
      <w:r w:rsidR="006C7D83" w:rsidRPr="004609DC">
        <w:rPr>
          <w:b/>
          <w:sz w:val="28"/>
          <w:szCs w:val="28"/>
        </w:rPr>
        <w:t xml:space="preserve">  </w:t>
      </w:r>
    </w:p>
    <w:p w:rsidR="00827648" w:rsidRDefault="00827648" w:rsidP="00371D5A">
      <w:pPr>
        <w:jc w:val="both"/>
        <w:rPr>
          <w:b/>
          <w:sz w:val="25"/>
          <w:szCs w:val="25"/>
        </w:rPr>
      </w:pPr>
    </w:p>
    <w:p w:rsidR="00292877" w:rsidRDefault="00292877" w:rsidP="007F6A80">
      <w:pPr>
        <w:ind w:left="5103"/>
        <w:jc w:val="both"/>
        <w:rPr>
          <w:b/>
          <w:sz w:val="25"/>
          <w:szCs w:val="25"/>
        </w:rPr>
        <w:sectPr w:rsidR="00292877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7D2FA9" w:rsidRPr="00292877" w:rsidRDefault="00292877" w:rsidP="00292877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lastRenderedPageBreak/>
        <w:t>Приложение 1</w:t>
      </w:r>
    </w:p>
    <w:p w:rsidR="00292877" w:rsidRPr="00292877" w:rsidRDefault="00292877" w:rsidP="00292877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t>к распоряжению администрации</w:t>
      </w:r>
    </w:p>
    <w:p w:rsidR="00292877" w:rsidRPr="00292877" w:rsidRDefault="00292877" w:rsidP="00292877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t>Верхнемамонского</w:t>
      </w:r>
    </w:p>
    <w:p w:rsidR="00292877" w:rsidRPr="00292877" w:rsidRDefault="00292877" w:rsidP="00292877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t>муниципального района</w:t>
      </w:r>
    </w:p>
    <w:p w:rsidR="00292877" w:rsidRPr="00292877" w:rsidRDefault="00292877" w:rsidP="00292877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t xml:space="preserve">от </w:t>
      </w:r>
      <w:r w:rsidR="00617A83">
        <w:rPr>
          <w:sz w:val="25"/>
          <w:szCs w:val="25"/>
        </w:rPr>
        <w:t>08.02.2019г.</w:t>
      </w:r>
      <w:r w:rsidRPr="00292877">
        <w:rPr>
          <w:sz w:val="25"/>
          <w:szCs w:val="25"/>
        </w:rPr>
        <w:t xml:space="preserve"> № </w:t>
      </w:r>
      <w:r w:rsidR="00617A83">
        <w:rPr>
          <w:sz w:val="25"/>
          <w:szCs w:val="25"/>
        </w:rPr>
        <w:t>43-р</w:t>
      </w:r>
    </w:p>
    <w:p w:rsidR="00292877" w:rsidRPr="00292877" w:rsidRDefault="00292877" w:rsidP="00292877">
      <w:pPr>
        <w:ind w:left="5103"/>
        <w:jc w:val="right"/>
        <w:rPr>
          <w:sz w:val="25"/>
          <w:szCs w:val="25"/>
        </w:rPr>
      </w:pPr>
    </w:p>
    <w:p w:rsidR="00292877" w:rsidRDefault="00547F5F" w:rsidP="00292877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Карта </w:t>
      </w:r>
      <w:proofErr w:type="spellStart"/>
      <w:r>
        <w:rPr>
          <w:sz w:val="25"/>
          <w:szCs w:val="25"/>
        </w:rPr>
        <w:t>комплаенс-рисков</w:t>
      </w:r>
      <w:proofErr w:type="spellEnd"/>
    </w:p>
    <w:p w:rsidR="00547F5F" w:rsidRDefault="00547F5F" w:rsidP="00292877">
      <w:pPr>
        <w:jc w:val="center"/>
        <w:rPr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1554"/>
        <w:gridCol w:w="1676"/>
        <w:gridCol w:w="1627"/>
        <w:gridCol w:w="1644"/>
        <w:gridCol w:w="1818"/>
        <w:gridCol w:w="1818"/>
      </w:tblGrid>
      <w:tr w:rsidR="00547F5F" w:rsidTr="00547F5F">
        <w:tc>
          <w:tcPr>
            <w:tcW w:w="1689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</w:tc>
        <w:tc>
          <w:tcPr>
            <w:tcW w:w="1689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Выявленные риски</w:t>
            </w:r>
          </w:p>
        </w:tc>
        <w:tc>
          <w:tcPr>
            <w:tcW w:w="1689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Уровень рисков</w:t>
            </w:r>
          </w:p>
        </w:tc>
        <w:tc>
          <w:tcPr>
            <w:tcW w:w="1690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Описание рисков</w:t>
            </w:r>
          </w:p>
        </w:tc>
        <w:tc>
          <w:tcPr>
            <w:tcW w:w="1690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Причины возникновения рисков</w:t>
            </w:r>
          </w:p>
        </w:tc>
        <w:tc>
          <w:tcPr>
            <w:tcW w:w="1690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Условия возникновения рисков</w:t>
            </w:r>
          </w:p>
        </w:tc>
      </w:tr>
      <w:tr w:rsidR="00547F5F" w:rsidTr="00547F5F">
        <w:tc>
          <w:tcPr>
            <w:tcW w:w="1689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89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89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90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90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90" w:type="dxa"/>
          </w:tcPr>
          <w:p w:rsidR="00547F5F" w:rsidRDefault="00547F5F" w:rsidP="00292877">
            <w:pPr>
              <w:jc w:val="center"/>
              <w:rPr>
                <w:sz w:val="25"/>
                <w:szCs w:val="25"/>
              </w:rPr>
            </w:pPr>
          </w:p>
        </w:tc>
      </w:tr>
    </w:tbl>
    <w:p w:rsidR="00547F5F" w:rsidRDefault="00547F5F" w:rsidP="00292877">
      <w:pPr>
        <w:jc w:val="center"/>
        <w:rPr>
          <w:sz w:val="25"/>
          <w:szCs w:val="25"/>
        </w:rPr>
        <w:sectPr w:rsidR="00547F5F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547F5F" w:rsidRPr="00292877" w:rsidRDefault="00547F5F" w:rsidP="00547F5F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lastRenderedPageBreak/>
        <w:t xml:space="preserve">Приложение </w:t>
      </w:r>
      <w:r>
        <w:rPr>
          <w:sz w:val="25"/>
          <w:szCs w:val="25"/>
        </w:rPr>
        <w:t>2</w:t>
      </w:r>
    </w:p>
    <w:p w:rsidR="00547F5F" w:rsidRPr="00292877" w:rsidRDefault="00547F5F" w:rsidP="00547F5F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t>к распоряжению администрации</w:t>
      </w:r>
    </w:p>
    <w:p w:rsidR="00547F5F" w:rsidRPr="00292877" w:rsidRDefault="00547F5F" w:rsidP="00547F5F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t>Верхнемамонского</w:t>
      </w:r>
    </w:p>
    <w:p w:rsidR="00547F5F" w:rsidRPr="00292877" w:rsidRDefault="00547F5F" w:rsidP="00547F5F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t>муниципального района</w:t>
      </w:r>
    </w:p>
    <w:p w:rsidR="00547F5F" w:rsidRPr="00292877" w:rsidRDefault="00547F5F" w:rsidP="00547F5F">
      <w:pPr>
        <w:ind w:left="5103"/>
        <w:jc w:val="right"/>
        <w:rPr>
          <w:sz w:val="25"/>
          <w:szCs w:val="25"/>
        </w:rPr>
      </w:pPr>
      <w:r w:rsidRPr="00292877">
        <w:rPr>
          <w:sz w:val="25"/>
          <w:szCs w:val="25"/>
        </w:rPr>
        <w:t xml:space="preserve">от </w:t>
      </w:r>
      <w:r w:rsidR="00617A83">
        <w:rPr>
          <w:sz w:val="25"/>
          <w:szCs w:val="25"/>
        </w:rPr>
        <w:t>08.02.2019г.</w:t>
      </w:r>
      <w:r w:rsidRPr="00292877">
        <w:rPr>
          <w:sz w:val="25"/>
          <w:szCs w:val="25"/>
        </w:rPr>
        <w:t xml:space="preserve"> № </w:t>
      </w:r>
      <w:r w:rsidR="00617A83">
        <w:rPr>
          <w:sz w:val="25"/>
          <w:szCs w:val="25"/>
        </w:rPr>
        <w:t>43-р</w:t>
      </w:r>
    </w:p>
    <w:p w:rsidR="00547F5F" w:rsidRPr="00292877" w:rsidRDefault="00547F5F" w:rsidP="00547F5F">
      <w:pPr>
        <w:ind w:left="5103"/>
        <w:jc w:val="right"/>
        <w:rPr>
          <w:sz w:val="25"/>
          <w:szCs w:val="25"/>
        </w:rPr>
      </w:pPr>
    </w:p>
    <w:p w:rsidR="00547F5F" w:rsidRDefault="00547F5F" w:rsidP="00547F5F">
      <w:pPr>
        <w:ind w:left="5103"/>
        <w:jc w:val="right"/>
        <w:rPr>
          <w:b/>
          <w:sz w:val="25"/>
          <w:szCs w:val="25"/>
        </w:rPr>
      </w:pPr>
    </w:p>
    <w:p w:rsidR="00547F5F" w:rsidRDefault="00547F5F" w:rsidP="00547F5F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Уровни</w:t>
      </w:r>
      <w:r w:rsidRPr="005B2C98">
        <w:rPr>
          <w:b/>
          <w:sz w:val="25"/>
          <w:szCs w:val="25"/>
        </w:rPr>
        <w:t xml:space="preserve"> риск</w:t>
      </w:r>
      <w:r>
        <w:rPr>
          <w:b/>
          <w:sz w:val="25"/>
          <w:szCs w:val="25"/>
        </w:rPr>
        <w:t>ов</w:t>
      </w:r>
      <w:r w:rsidRPr="005B2C98">
        <w:rPr>
          <w:b/>
          <w:sz w:val="25"/>
          <w:szCs w:val="25"/>
        </w:rPr>
        <w:t xml:space="preserve"> </w:t>
      </w:r>
    </w:p>
    <w:p w:rsidR="00547F5F" w:rsidRDefault="00547F5F" w:rsidP="00547F5F">
      <w:pPr>
        <w:jc w:val="center"/>
        <w:rPr>
          <w:b/>
          <w:sz w:val="25"/>
          <w:szCs w:val="25"/>
        </w:rPr>
      </w:pPr>
      <w:r w:rsidRPr="005B2C98">
        <w:rPr>
          <w:b/>
          <w:sz w:val="25"/>
          <w:szCs w:val="25"/>
        </w:rPr>
        <w:t>нарушения антимонопольного законодательства</w:t>
      </w:r>
    </w:p>
    <w:p w:rsidR="00547F5F" w:rsidRDefault="00547F5F" w:rsidP="00547F5F">
      <w:pPr>
        <w:ind w:left="5103"/>
        <w:jc w:val="both"/>
        <w:rPr>
          <w:b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0"/>
        <w:gridCol w:w="7336"/>
      </w:tblGrid>
      <w:tr w:rsidR="00547F5F" w:rsidRPr="00195269" w:rsidTr="00A75BB6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547F5F" w:rsidP="00A75BB6">
            <w:pPr>
              <w:jc w:val="center"/>
              <w:rPr>
                <w:sz w:val="25"/>
                <w:szCs w:val="25"/>
              </w:rPr>
            </w:pPr>
            <w:r w:rsidRPr="00195269">
              <w:rPr>
                <w:bCs/>
                <w:sz w:val="25"/>
                <w:szCs w:val="25"/>
              </w:rPr>
              <w:t>Уровень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195269">
              <w:rPr>
                <w:bCs/>
                <w:sz w:val="25"/>
                <w:szCs w:val="25"/>
              </w:rPr>
              <w:t>риска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547F5F" w:rsidP="00A75BB6">
            <w:pPr>
              <w:jc w:val="center"/>
              <w:rPr>
                <w:sz w:val="25"/>
                <w:szCs w:val="25"/>
              </w:rPr>
            </w:pPr>
            <w:r w:rsidRPr="00195269">
              <w:rPr>
                <w:bCs/>
                <w:sz w:val="25"/>
                <w:szCs w:val="25"/>
              </w:rPr>
              <w:t>Описание риска</w:t>
            </w:r>
          </w:p>
        </w:tc>
      </w:tr>
      <w:tr w:rsidR="00547F5F" w:rsidRPr="00195269" w:rsidTr="00A75BB6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547F5F" w:rsidP="00A75BB6">
            <w:pPr>
              <w:jc w:val="both"/>
              <w:rPr>
                <w:sz w:val="25"/>
                <w:szCs w:val="25"/>
              </w:rPr>
            </w:pPr>
            <w:r w:rsidRPr="00195269">
              <w:rPr>
                <w:bCs/>
                <w:sz w:val="25"/>
                <w:szCs w:val="25"/>
              </w:rPr>
              <w:t>Низкий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9F34C1" w:rsidP="00547F5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="00547F5F" w:rsidRPr="00310BFF">
              <w:rPr>
                <w:sz w:val="25"/>
                <w:szCs w:val="25"/>
              </w:rPr>
              <w:t xml:space="preserve">трицательное влияние на отношение институтов гражданского общества к деятельности </w:t>
            </w:r>
            <w:r w:rsidR="00547F5F">
              <w:rPr>
                <w:sz w:val="25"/>
                <w:szCs w:val="25"/>
              </w:rPr>
              <w:t xml:space="preserve">администрации Верхнемамонского муниципального района </w:t>
            </w:r>
            <w:r w:rsidR="00547F5F" w:rsidRPr="00310BFF">
              <w:rPr>
                <w:sz w:val="25"/>
                <w:szCs w:val="25"/>
              </w:rPr>
              <w:t xml:space="preserve"> по развитию конкуренции</w:t>
            </w:r>
            <w:r w:rsidR="00547F5F">
              <w:rPr>
                <w:sz w:val="25"/>
                <w:szCs w:val="25"/>
              </w:rPr>
              <w:t>;</w:t>
            </w:r>
            <w:r w:rsidR="00547F5F" w:rsidRPr="00310BFF">
              <w:rPr>
                <w:sz w:val="25"/>
                <w:szCs w:val="25"/>
              </w:rPr>
              <w:t xml:space="preserve"> вероятность выдачи предупреждения</w:t>
            </w:r>
            <w:r w:rsidR="00547F5F">
              <w:rPr>
                <w:sz w:val="25"/>
                <w:szCs w:val="25"/>
              </w:rPr>
              <w:t>;</w:t>
            </w:r>
            <w:r w:rsidR="00547F5F" w:rsidRPr="00310BFF">
              <w:rPr>
                <w:sz w:val="25"/>
                <w:szCs w:val="25"/>
              </w:rPr>
              <w:t xml:space="preserve"> возбуждения дела о нарушении антимонопольного законодательства, наложения штрафа отсутствует</w:t>
            </w:r>
          </w:p>
        </w:tc>
      </w:tr>
      <w:tr w:rsidR="00547F5F" w:rsidRPr="00195269" w:rsidTr="00A75BB6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547F5F" w:rsidP="00A75BB6">
            <w:pPr>
              <w:jc w:val="both"/>
              <w:rPr>
                <w:sz w:val="25"/>
                <w:szCs w:val="25"/>
              </w:rPr>
            </w:pPr>
            <w:r w:rsidRPr="00195269">
              <w:rPr>
                <w:bCs/>
                <w:sz w:val="25"/>
                <w:szCs w:val="25"/>
              </w:rPr>
              <w:t>Незначительный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9F34C1" w:rsidP="00A75BB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Вероятность</w:t>
            </w:r>
            <w:r w:rsidR="00547F5F" w:rsidRPr="00195269">
              <w:rPr>
                <w:sz w:val="25"/>
                <w:szCs w:val="25"/>
              </w:rPr>
              <w:t xml:space="preserve"> выдачи </w:t>
            </w:r>
            <w:r w:rsidR="00547F5F" w:rsidRPr="00310BFF">
              <w:rPr>
                <w:sz w:val="25"/>
                <w:szCs w:val="25"/>
              </w:rPr>
              <w:t xml:space="preserve">администрации Верхнемамонского муниципального района </w:t>
            </w:r>
            <w:r w:rsidR="00547F5F" w:rsidRPr="00195269">
              <w:rPr>
                <w:sz w:val="25"/>
                <w:szCs w:val="25"/>
              </w:rPr>
              <w:t>предупреждения</w:t>
            </w:r>
          </w:p>
        </w:tc>
      </w:tr>
      <w:tr w:rsidR="00547F5F" w:rsidRPr="00195269" w:rsidTr="00A75BB6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547F5F" w:rsidP="00A75BB6">
            <w:pPr>
              <w:jc w:val="both"/>
              <w:rPr>
                <w:sz w:val="25"/>
                <w:szCs w:val="25"/>
              </w:rPr>
            </w:pPr>
            <w:r w:rsidRPr="00195269">
              <w:rPr>
                <w:bCs/>
                <w:sz w:val="25"/>
                <w:szCs w:val="25"/>
              </w:rPr>
              <w:t>Существенный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9F34C1" w:rsidP="00A75BB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="00547F5F" w:rsidRPr="00310BFF">
              <w:rPr>
                <w:sz w:val="25"/>
                <w:szCs w:val="25"/>
              </w:rPr>
              <w:t xml:space="preserve">ероятность выдачи </w:t>
            </w:r>
            <w:r w:rsidR="00547F5F">
              <w:rPr>
                <w:sz w:val="25"/>
                <w:szCs w:val="25"/>
              </w:rPr>
              <w:t xml:space="preserve">администрации Верхнемамонского муниципального района </w:t>
            </w:r>
            <w:r w:rsidR="00547F5F" w:rsidRPr="00CF0562">
              <w:rPr>
                <w:sz w:val="25"/>
                <w:szCs w:val="25"/>
              </w:rPr>
              <w:t xml:space="preserve">предупреждения </w:t>
            </w:r>
            <w:r w:rsidR="00547F5F" w:rsidRPr="00310BFF">
              <w:rPr>
                <w:sz w:val="25"/>
                <w:szCs w:val="25"/>
              </w:rPr>
              <w:t>и возбуждения в отношении него дела о нарушении антимонопольного законодательства</w:t>
            </w:r>
          </w:p>
        </w:tc>
      </w:tr>
      <w:tr w:rsidR="00547F5F" w:rsidRPr="00195269" w:rsidTr="00A75BB6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547F5F" w:rsidP="00A75BB6">
            <w:pPr>
              <w:jc w:val="both"/>
              <w:rPr>
                <w:sz w:val="25"/>
                <w:szCs w:val="25"/>
              </w:rPr>
            </w:pPr>
            <w:r w:rsidRPr="00195269">
              <w:rPr>
                <w:bCs/>
                <w:sz w:val="25"/>
                <w:szCs w:val="25"/>
              </w:rPr>
              <w:t>Высокий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F5F" w:rsidRPr="00195269" w:rsidRDefault="009F34C1" w:rsidP="00A75BB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="00547F5F" w:rsidRPr="00CB67B3">
              <w:rPr>
                <w:sz w:val="25"/>
                <w:szCs w:val="25"/>
              </w:rPr>
              <w:t xml:space="preserve">ероятность выдачи </w:t>
            </w:r>
            <w:r w:rsidR="00547F5F">
              <w:rPr>
                <w:sz w:val="25"/>
                <w:szCs w:val="25"/>
              </w:rPr>
              <w:t xml:space="preserve">администрации Верхнемамонского муниципального района </w:t>
            </w:r>
            <w:r w:rsidR="00547F5F" w:rsidRPr="00CB67B3">
              <w:rPr>
                <w:sz w:val="25"/>
                <w:szCs w:val="25"/>
              </w:rPr>
              <w:t xml:space="preserve"> предупреждения, возбуждения в отношении не</w:t>
            </w:r>
            <w:r w:rsidR="00547F5F">
              <w:rPr>
                <w:sz w:val="25"/>
                <w:szCs w:val="25"/>
              </w:rPr>
              <w:t>е</w:t>
            </w:r>
            <w:r w:rsidR="00547F5F" w:rsidRPr="00CB67B3">
              <w:rPr>
                <w:sz w:val="25"/>
                <w:szCs w:val="25"/>
              </w:rPr>
              <w:t xml:space="preserve"> дела о нарушении антимонопольного законодательства и привлечения е</w:t>
            </w:r>
            <w:r w:rsidR="00547F5F">
              <w:rPr>
                <w:sz w:val="25"/>
                <w:szCs w:val="25"/>
              </w:rPr>
              <w:t>е</w:t>
            </w:r>
            <w:r w:rsidR="00547F5F" w:rsidRPr="00CB67B3">
              <w:rPr>
                <w:sz w:val="25"/>
                <w:szCs w:val="25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547F5F" w:rsidRPr="00BC7334" w:rsidRDefault="00547F5F" w:rsidP="00547F5F">
      <w:pPr>
        <w:ind w:left="5103"/>
        <w:jc w:val="both"/>
        <w:rPr>
          <w:b/>
          <w:sz w:val="25"/>
          <w:szCs w:val="25"/>
        </w:rPr>
      </w:pPr>
    </w:p>
    <w:p w:rsidR="00547F5F" w:rsidRPr="00292877" w:rsidRDefault="00547F5F" w:rsidP="00292877">
      <w:pPr>
        <w:jc w:val="center"/>
        <w:rPr>
          <w:sz w:val="25"/>
          <w:szCs w:val="25"/>
        </w:rPr>
      </w:pPr>
    </w:p>
    <w:sectPr w:rsidR="00547F5F" w:rsidRPr="00292877" w:rsidSect="00FB3E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8A94A4E"/>
    <w:multiLevelType w:val="hybridMultilevel"/>
    <w:tmpl w:val="BE6E3B62"/>
    <w:lvl w:ilvl="0" w:tplc="4FE67AE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691821"/>
    <w:rsid w:val="00003C04"/>
    <w:rsid w:val="00015256"/>
    <w:rsid w:val="00015DB1"/>
    <w:rsid w:val="00062E32"/>
    <w:rsid w:val="00070FEF"/>
    <w:rsid w:val="00081A9C"/>
    <w:rsid w:val="000A4963"/>
    <w:rsid w:val="000D2662"/>
    <w:rsid w:val="00101F88"/>
    <w:rsid w:val="00123B19"/>
    <w:rsid w:val="001779AD"/>
    <w:rsid w:val="001A08AB"/>
    <w:rsid w:val="001B5F19"/>
    <w:rsid w:val="001F7BC1"/>
    <w:rsid w:val="00223493"/>
    <w:rsid w:val="00255B71"/>
    <w:rsid w:val="00292877"/>
    <w:rsid w:val="00297659"/>
    <w:rsid w:val="002E1165"/>
    <w:rsid w:val="002F0D57"/>
    <w:rsid w:val="003501F6"/>
    <w:rsid w:val="00371D5A"/>
    <w:rsid w:val="0038133C"/>
    <w:rsid w:val="003A0D12"/>
    <w:rsid w:val="003D06DA"/>
    <w:rsid w:val="003D6A7B"/>
    <w:rsid w:val="004352C7"/>
    <w:rsid w:val="004609DC"/>
    <w:rsid w:val="00481E09"/>
    <w:rsid w:val="0050303E"/>
    <w:rsid w:val="005135BB"/>
    <w:rsid w:val="00534A80"/>
    <w:rsid w:val="00547F5F"/>
    <w:rsid w:val="00581EFD"/>
    <w:rsid w:val="005A54FF"/>
    <w:rsid w:val="005B6C70"/>
    <w:rsid w:val="006178C7"/>
    <w:rsid w:val="0061797E"/>
    <w:rsid w:val="00617A83"/>
    <w:rsid w:val="0063492E"/>
    <w:rsid w:val="006367AD"/>
    <w:rsid w:val="00640D53"/>
    <w:rsid w:val="00645D2B"/>
    <w:rsid w:val="006707C1"/>
    <w:rsid w:val="00691821"/>
    <w:rsid w:val="00695346"/>
    <w:rsid w:val="006A11DE"/>
    <w:rsid w:val="006C7D83"/>
    <w:rsid w:val="006D2B62"/>
    <w:rsid w:val="006D56C2"/>
    <w:rsid w:val="006E5462"/>
    <w:rsid w:val="0070183F"/>
    <w:rsid w:val="0073110B"/>
    <w:rsid w:val="00744334"/>
    <w:rsid w:val="00744DD3"/>
    <w:rsid w:val="007461DC"/>
    <w:rsid w:val="00795018"/>
    <w:rsid w:val="007B5AC8"/>
    <w:rsid w:val="007B72F1"/>
    <w:rsid w:val="007D2FA9"/>
    <w:rsid w:val="007F6A80"/>
    <w:rsid w:val="00802907"/>
    <w:rsid w:val="00807E55"/>
    <w:rsid w:val="00817FBF"/>
    <w:rsid w:val="008229E6"/>
    <w:rsid w:val="00827648"/>
    <w:rsid w:val="0083260A"/>
    <w:rsid w:val="00833850"/>
    <w:rsid w:val="00862E7B"/>
    <w:rsid w:val="00870A27"/>
    <w:rsid w:val="00886939"/>
    <w:rsid w:val="008C2C58"/>
    <w:rsid w:val="008D3232"/>
    <w:rsid w:val="008E2B54"/>
    <w:rsid w:val="008E46DD"/>
    <w:rsid w:val="00923386"/>
    <w:rsid w:val="0094724D"/>
    <w:rsid w:val="009A0989"/>
    <w:rsid w:val="009D368A"/>
    <w:rsid w:val="009D4BF4"/>
    <w:rsid w:val="009F34C1"/>
    <w:rsid w:val="00A83541"/>
    <w:rsid w:val="00A952AF"/>
    <w:rsid w:val="00AC3D4D"/>
    <w:rsid w:val="00AE1263"/>
    <w:rsid w:val="00AE5BC9"/>
    <w:rsid w:val="00B106A6"/>
    <w:rsid w:val="00B33071"/>
    <w:rsid w:val="00B339D4"/>
    <w:rsid w:val="00B64DC9"/>
    <w:rsid w:val="00B8660D"/>
    <w:rsid w:val="00B951D8"/>
    <w:rsid w:val="00BB090D"/>
    <w:rsid w:val="00BC7334"/>
    <w:rsid w:val="00BE316A"/>
    <w:rsid w:val="00BE442E"/>
    <w:rsid w:val="00C76758"/>
    <w:rsid w:val="00C8053A"/>
    <w:rsid w:val="00C83AA2"/>
    <w:rsid w:val="00CB2F8A"/>
    <w:rsid w:val="00CD4027"/>
    <w:rsid w:val="00CE6278"/>
    <w:rsid w:val="00D2651C"/>
    <w:rsid w:val="00D2734E"/>
    <w:rsid w:val="00D5251C"/>
    <w:rsid w:val="00D60F5C"/>
    <w:rsid w:val="00D66DEC"/>
    <w:rsid w:val="00DD3401"/>
    <w:rsid w:val="00DD4945"/>
    <w:rsid w:val="00DD7844"/>
    <w:rsid w:val="00E51F7B"/>
    <w:rsid w:val="00E82D73"/>
    <w:rsid w:val="00EC701B"/>
    <w:rsid w:val="00EE6DB6"/>
    <w:rsid w:val="00F1009C"/>
    <w:rsid w:val="00FA5684"/>
    <w:rsid w:val="00FB3EE1"/>
    <w:rsid w:val="00FF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Balloon Text"/>
    <w:basedOn w:val="a"/>
    <w:link w:val="a6"/>
    <w:rsid w:val="00C80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0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216E-0ACA-41D0-A3F3-4977CADC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135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Вострикова Татьяна Александровна</cp:lastModifiedBy>
  <cp:revision>11</cp:revision>
  <cp:lastPrinted>2019-02-12T10:20:00Z</cp:lastPrinted>
  <dcterms:created xsi:type="dcterms:W3CDTF">2021-03-11T08:25:00Z</dcterms:created>
  <dcterms:modified xsi:type="dcterms:W3CDTF">2021-03-11T11:49:00Z</dcterms:modified>
</cp:coreProperties>
</file>