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9" w:rsidRPr="002B30E9" w:rsidRDefault="002B30E9" w:rsidP="002B30E9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Утвержден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приказом</w:t>
      </w:r>
    </w:p>
    <w:p w:rsidR="002B30E9" w:rsidRDefault="002B30E9" w:rsidP="002B30E9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</w:p>
    <w:p w:rsidR="002B30E9" w:rsidRPr="002B30E9" w:rsidRDefault="002B30E9" w:rsidP="002B30E9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</w:p>
    <w:p w:rsidR="002B30E9" w:rsidRPr="002B30E9" w:rsidRDefault="002B30E9" w:rsidP="002B30E9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</w:p>
    <w:p w:rsidR="002B30E9" w:rsidRPr="002B30E9" w:rsidRDefault="002B30E9" w:rsidP="002B30E9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от 26 декабря 2014 г. </w:t>
      </w:r>
    </w:p>
    <w:p w:rsidR="002B30E9" w:rsidRPr="002B30E9" w:rsidRDefault="002B30E9" w:rsidP="002B30E9">
      <w:pPr>
        <w:pStyle w:val="a3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B30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(в ред. приказа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2B30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от 01.06.2015)</w:t>
      </w:r>
    </w:p>
    <w:p w:rsid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Стандарт внешнего </w:t>
      </w: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муниципального</w:t>
      </w: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финансового контроля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Ревизионной комиссии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Верхнемамонского</w:t>
      </w:r>
      <w:proofErr w:type="spellEnd"/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муниципального</w:t>
      </w: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района </w:t>
      </w: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>Воронежской области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«Порядок организации и проведения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>совместных и параллельных контрольных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2B30E9">
        <w:rPr>
          <w:rFonts w:ascii="Times New Roman" w:eastAsia="TimesNewRomanPS-BoldMT" w:hAnsi="Times New Roman" w:cs="Times New Roman"/>
          <w:b/>
          <w:bCs/>
          <w:sz w:val="48"/>
          <w:szCs w:val="48"/>
        </w:rPr>
        <w:t>и экспертно-аналитических мероприятий»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дата начала действия стандарта 01 января 2015 г</w:t>
      </w: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2B30E9" w:rsidRP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>
        <w:rPr>
          <w:rFonts w:ascii="Times New Roman" w:eastAsia="TimesNewRomanPSMT" w:hAnsi="Times New Roman" w:cs="Times New Roman"/>
          <w:b/>
          <w:sz w:val="36"/>
          <w:szCs w:val="36"/>
        </w:rPr>
        <w:t>Верхний Мамон</w:t>
      </w:r>
    </w:p>
    <w:p w:rsidR="002B30E9" w:rsidRPr="002B30E9" w:rsidRDefault="002B30E9" w:rsidP="002B30E9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 w:rsidRPr="002B30E9">
        <w:rPr>
          <w:rFonts w:ascii="Times New Roman" w:eastAsia="TimesNewRomanPSMT" w:hAnsi="Times New Roman" w:cs="Times New Roman"/>
          <w:b/>
          <w:sz w:val="36"/>
          <w:szCs w:val="36"/>
        </w:rPr>
        <w:t>2014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1. Общие положения………………………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………………...................... 3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2. Содержание совместных и параллельных контрольных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экспертно-аналитических мероприятий………………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…………….. 4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 Планирование совместных и параллельных мероприятий……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 4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 Подготовка и рассмотрение обращений о проведении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внеплановых совместных и параллельных мероприятий………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 5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 Подготовка и подписание Решения и программы проведения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совместных и параллельных мероприятий…………………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……………………….….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………. 6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6. Оформление распоряжений о проведении совместных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параллельных мероприятий, удостоверений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на право их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проведения и командировочных удостоверений .. ………...</w:t>
      </w:r>
      <w:r>
        <w:rPr>
          <w:rFonts w:ascii="Times New Roman" w:eastAsia="TimesNewRomanPSMT" w:hAnsi="Times New Roman" w:cs="Times New Roman"/>
          <w:sz w:val="28"/>
          <w:szCs w:val="28"/>
        </w:rPr>
        <w:t>.........................................................................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............. 8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 Проведение совместных и параллельных мероприятий………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…... 8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 Оформление результатов совместных и параллельных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мероприятий………………………………………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………………….. 9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Приложения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Приложение 1 Образец оформления Решения о проведении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совместного или параллельного мероприятия………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.. 11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Приложение 2 Образец оформления рабочего плана проведения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совместного или параллельного мероприятия……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……………………………………...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….. 12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B30E9" w:rsidRPr="002B30E9" w:rsidRDefault="002B30E9" w:rsidP="002B30E9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2B30E9" w:rsidRPr="002B30E9" w:rsidRDefault="002B30E9" w:rsidP="002B30E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1.1.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Стандарт внешнего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«Порядок организации и проведения совместных и параллельных контрольных и экспертно-аналитических мероприятий» (далее – Стандарт), разработан в соответствии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 статьями 11, 18 Федерального закона № 6-ФЗ от 7.02.2011 «Об общих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принципах организации и деятельности контрольно-счетных органов субъектов Российской Федерации и муниципальных образований» и стать</w:t>
      </w:r>
      <w:r>
        <w:rPr>
          <w:rFonts w:ascii="Times New Roman" w:eastAsia="TimesNewRomanPSMT" w:hAnsi="Times New Roman" w:cs="Times New Roman"/>
          <w:sz w:val="28"/>
          <w:szCs w:val="28"/>
        </w:rPr>
        <w:t>ей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19</w:t>
      </w:r>
      <w:r w:rsidRPr="002B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20.09.2011г. № 62 «Об утверждении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2B30E9" w:rsidRPr="00695954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Целью настоящего Стандарта является регламентация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(далее –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Ревизионная комиссия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) по организации и проведению совместных или параллельных контрольных и экспертно-аналитических мероприятий с контрольно-счетными органами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образований Воронежской области,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органами </w:t>
      </w:r>
      <w:r>
        <w:rPr>
          <w:rFonts w:ascii="Times New Roman" w:eastAsia="TimesNewRomanPSMT" w:hAnsi="Times New Roman" w:cs="Times New Roman"/>
          <w:color w:val="010100"/>
          <w:sz w:val="28"/>
          <w:szCs w:val="28"/>
        </w:rPr>
        <w:t>муниципальной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исполнительной власти </w:t>
      </w:r>
      <w:proofErr w:type="spellStart"/>
      <w:r>
        <w:rPr>
          <w:rFonts w:ascii="Times New Roman" w:eastAsia="TimesNewRomanPSMT" w:hAnsi="Times New Roman" w:cs="Times New Roman"/>
          <w:color w:val="010100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color w:val="010100"/>
          <w:sz w:val="28"/>
          <w:szCs w:val="28"/>
        </w:rPr>
        <w:t xml:space="preserve"> муниципального района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>Воронежской области, налоговыми органами, органами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color w:val="010100"/>
          <w:sz w:val="28"/>
          <w:szCs w:val="28"/>
        </w:rPr>
        <w:t>прокуратуры, иными правоохранительными, надзорными и контрольными органами (далее – сторонние организации).</w:t>
      </w:r>
      <w:proofErr w:type="gramEnd"/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Проведение совместных или параллельных контрольных и экспертно-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аналитических мероприятий с контрольно-счетными органами осуществляется в соответствии с требованиями Регламента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Стандарта 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69595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«Проведение контрольных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мероприятий. Общие правила»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(1)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Стандарта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69595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«Проведение экспертно-аналитических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мероприятий. Общие правила» (2).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1.3. Задачами Стандарта являются: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определение порядка организации и подготовки совместных или параллельных контрольных и экспертно-аналитических мероприятий, взаимодействия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 иными контролирующими органами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(далее Стороны) в процессе их проведения;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установление требований по оформлению результатов совместных или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параллельных контрольных и экспертно-аналитических мероприятий, порядка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их рассмотрения.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1.4. Правовой основой участия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совместных или параллельных контрольных и экспертно-аналитических мероприятиях являются: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– Федеральный закон от 07.02.2011 № 6-ФЗ «Об общих принципах организации и деятельности контрольно-счётных органов субъектов Российской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Федерации и муниципальных образований»;</w:t>
      </w:r>
    </w:p>
    <w:p w:rsidR="002B30E9" w:rsidRPr="002B30E9" w:rsidRDefault="002B30E9" w:rsidP="0069595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695954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69595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20.09.2011г. № 62 «Об утверждении Положения о Ревизионной комиссии </w:t>
      </w:r>
      <w:proofErr w:type="spellStart"/>
      <w:r w:rsidR="00695954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Регламент и стандарты внешнего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69595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соглашения о сотрудничестве между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комиссией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сторонними организациями (при их наличии);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Федеральные законы и иные нормативные правовые акты Российской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Федерации, регламентирующие деятельность Сторон.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1.6. Решения по вопросам организации и проведения совместных и параллельных мероприятий, не урегулированным настоящим Стандартом, принимаются председателем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в том числе на основании предложений заместителя председателя или аудиторов, ответственных за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их проведение (далее – аудиторы). При необходимости данные решения согласовываются с руководителем сторонней организации, принимающей участие в мероприятии.</w:t>
      </w:r>
    </w:p>
    <w:p w:rsidR="002B30E9" w:rsidRPr="002B30E9" w:rsidRDefault="002B30E9" w:rsidP="0069595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Содержание совместных и параллельных мероприятий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2.1. Совместные контрольные и экспертно-аналитические мероприятия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форма организации контрольных и экспертно-аналитических мероприятий,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осуществляемых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комиссией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сторонними организациями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на двусторонней или многосторонней основе в соответствии с общей программой по теме, предложенной Стороной-инициатором, и в согласованные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сроки.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2.2. Параллельные контрольные и экспертно-аналитические мероприятия – форма организации контрольных и экспертно-аналитических мероприятий, осуществляемых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комиссией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сторонними организациями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2B30E9" w:rsidRPr="002B30E9" w:rsidRDefault="002B30E9" w:rsidP="0069595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 Планирование совместных и параллельных мероприятий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 Подготовка предложений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адрес сторонних организаций о проведении совместных и параллельных мероприятий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при формировании плана работы на очередной год.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3.1.1. Планирование совместных и параллельных мероприятий осуществляется в соответствии с нормативным документом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695954"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области, регламентирующим вопросы планирования работы, с учетом особенностей предусмотренных настоящим стандартом.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3.1.2.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готовят предложения о проведении совместных и параллельных контрольных и экспертно-аналитических мероприятий на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очередной год, согласовывают их с председателем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 до 1 ноября года, предшествующего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планируемому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>, направляет их сторонним организациям.</w:t>
      </w:r>
    </w:p>
    <w:p w:rsidR="002B30E9" w:rsidRPr="002B30E9" w:rsidRDefault="002B30E9" w:rsidP="0069595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3.1.3. Сторонние организации рассматривают полученные предложения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 направляют в 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>Ревизионную комиссию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свое решение об участии в проведении совместных или параллельных контрольных и экспертно-аналитических мероприятиях.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3.1.4. При получении от сторонних организаций положительного ответа</w:t>
      </w:r>
      <w:r w:rsidR="006959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на предложение о проведении совместного или параллельного контрольного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или экспертно-аналитического мероприятия до 20 ноября года, предшествующего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планируемому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>, данное предложение вносится в проект плана работы.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3.2. Рассмотрение предложений сторонних организаций о проведении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совместных и параллельных мероприятий ведется при формировании плана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работы на очередной год.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3.2.1. При поступлении в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Ревизионную комиссию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обращения (предложения)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 о проведении совместных или параллельных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до 20 ноября года,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предшествующего планируемому, председатель поручает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сотруднику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), в компетенцию которого входят проведение предлагаемых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мероприятий, подготовить предложения о возможности включения в проект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плана работы на очередной год указанных мероприятий.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3.2.2.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или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получившие поручение о рассмотрении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обращения, вносят на рассмотрение председателя одно из следующих решений: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включить в проект плана работы на очередной год проведение совместного или параллельного контрольного или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экспертно-аналитического мероприятия в соответствии с поступившим предложением;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учесть отдельные вопросы поступившего предложения при проведении иных контрольных и экспертно-аналитических мероприятий, которые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предусматриваются проектом плана работы на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очередной год;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отклонить поступившее предложение.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 решению председателя принятые предложения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вносятся в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проект плана работы на очередной год.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3.2.3. При принятии решения о проведении совместного или параллельного контрольного и экспертно-аналитического мероприятия в соответствии с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поступившим предложением, его руководителю направляется ответ, содержащий информацию о принятом решении.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 принятии решения об учете отдельных вопросов из поступившего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предложения при проведении иных контрольных и экспертно-аналитических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мероприятий, предусматриваемых в проекте плана 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год, руководителю сторонней организации направляется ответ с соответствующим предложением.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Ответы, содержащие информацию о соответствующих решениях (в т.ч. 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о не включении мероприятий в проект плана работы), подготавливаются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направляются инициатору предложений за подписью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председателя в срок не более 5 рабочих дней со дня принятия решения.</w:t>
      </w:r>
    </w:p>
    <w:p w:rsidR="002B30E9" w:rsidRPr="002B30E9" w:rsidRDefault="002B30E9" w:rsidP="00B0024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4. Подготовка и рассмотрение обращений о проведении </w:t>
      </w:r>
      <w:proofErr w:type="spell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внеплано</w:t>
      </w:r>
      <w:proofErr w:type="spell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</w:p>
    <w:p w:rsidR="002B30E9" w:rsidRPr="002B30E9" w:rsidRDefault="002B30E9" w:rsidP="00B0024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вых</w:t>
      </w:r>
      <w:proofErr w:type="spell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совместных и параллельных мероприятий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4.1. 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Если в течение года в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Ревизионную комиссию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поступило поручение или обращение (далее – поручение), обязательное для включения в план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исполнение которого целесообразно проведения совместного или параллельного мероприятия, председатель поручает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сотруднику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подготовить предложения о проведении совместного или параллельного мероприятия.</w:t>
      </w:r>
      <w:proofErr w:type="gramEnd"/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4.2. При одобрении председателем предложения в соответствии с поручением в адрес сторонней организации направляется предложение о проведении совместного или параллельного мероприятия за подписью председателя, к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которому прилагается проект программы совместного или параллельного мероприятия.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4.3. При получении от сторонней организации положительного ответа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совместное или параллельное мероприятие в установленном порядке включается в план 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4.4. При получении отрицательного ответа на предложение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 проведении совместного или параллельного мероприятия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председателем принимается решение о проведении контрольного или экспертно-аналитического мероприятия самостоятельно, без участия сторонней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организации.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4.5. При поступлении в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Ревизионную комиссию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обращения о проведении совместного или параллельного мероприятия в течение года, не обязательного для включения в план работы, председатель, поручает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сотруднику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или нескольким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сотрудникам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подготовить предложения о возможности проведения совместного или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параллельного мероприятия в соответствии с обращением.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Сотрудники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получившие поручение о рассмотрении обращения, вносят на рассмотрение председателя одно из следующих предложений: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включить в план 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провести совместное или параллельное мероприятие в соответствии с обращением;</w:t>
      </w:r>
    </w:p>
    <w:p w:rsidR="002B30E9" w:rsidRPr="002B30E9" w:rsidRDefault="002B30E9" w:rsidP="00B0024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включить отдельные вопросы совместного или параллельного мероприятия в программы проведения иных контрольных или экспертно-аналитических мероприятий, предусмотренных планом работы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отклонить обращение.</w:t>
      </w:r>
    </w:p>
    <w:p w:rsidR="002B30E9" w:rsidRPr="002B30E9" w:rsidRDefault="002B30E9" w:rsidP="00B0024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4.7. Ответ инициатору обращения о проведении совместного или параллельного мероприятия направляется за подписью председателя 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в течение не более 5 рабочих дней со дня принятия решения о</w:t>
      </w:r>
      <w:r w:rsidR="00B0024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проведении совместного или параллельного мероприятия.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Подготовка и подписание решения и программы проведения совместных и параллельных мероприятий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5.1. Для проведения совместного или параллельного контрольного 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экспертно-аналитического мероприятия Сторонами может подписываться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>Решение о проведении совместного или параллельного контрольного или экспертно-аналитического мероприятия (далее – Решение), в котором могут определяться: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наименование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цель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предмет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объекты и проверяемый период;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сроки проведения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ответственные лица за проведение контрольного 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вопросы участия каждой из сторон, исходя из их функций и контрольных полномочий, определенных соответствующим законодательством;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порядок обмена информацией, оформления результатов контрольного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или экспертно-аналитического мероприятия, в том числе форма, порядок подписания и согласования документов;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порядок подготовки и принятия решений по результатам контрольного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 экспертно-аналитического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иные вопросы взаимодействия Сторон.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Подготовка Решения организуется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сотрудником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ответственным за проведение мероприятия. Решение подписывается председателем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Подписание Решения может быть осуществлено, в том числе, электрон-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ной цифровой подписью.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Образец оформления Решения приведен в приложении 1 к настоящему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стандарту.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5.2. Проведение совместного или параллельного контрольного и экспертно-аналитического мероприятия осуществляется в соответствии с его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программой (далее – программа мероприятия).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Подготовка программы мероприятия участниками со стороны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осуществляется в соответствии с порядком, установленным стандартами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с учетом особенностей, установленных настоящим Стандартом.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5.3. Проведение совместного мероприятия производится в соответствии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 общей для всех Сторон программой.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В программе совместного мероприятия дополнительно указываются: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должностное лицо сторонней организации, ответственное за проведение совместного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виза и дата согласования программы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5.4. Подготовка проекта программы совместного мероприятия, проводимого по инициативе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, осуществляется под руководством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ответственного за проведение данного совместного или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параллельного контрольного и экспертно-аналитического мероприятия, по согласованию с руководителем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Программа, согласованная с руководителем сторонней организации, утверждается председателем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5.5. Подготовка проекта программы мероприятия, проводимого по инициативе сторонней организации, осуществляется сторонней организацией –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инициатором обращения по согласованию с председателем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 В случае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если в сторонней организации подготовка программы не предусмотрена, программа готовиться в соответствии с пунктом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5.4 настоящего Стандарта.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5.6. При проведении совместного контрольного мероприятия контрольные действия проводятся как сформированной рабочей группой из представителей Сторон на каждом объекте контроля, так и рабочими группами каждой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из Сторон на разных объектах контроля, что должно быть отражено в Решении или программе.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5.7. Параллельное мероприятие проводится по раздельным программам.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Программа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направляется сторонней организации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для сведения.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6. Оформление распоряжений о проведении совместных или параллельных мероприятий, удостоверений </w:t>
      </w:r>
      <w:proofErr w:type="gramStart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право их</w:t>
      </w:r>
      <w:proofErr w:type="gramEnd"/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проведения и командировочных удостоверений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6.1. Распоряжение о проведении совместного или параллельного контрольного и экспертно-аналитического мероприятия, удостоверения на право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проведения, а также командировочные удостоверения оформляются каждой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Стороной самостоятельно в порядке, установленном Регламентом и Стандартами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внутренними документами сторонних организаций.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6.2. В распоряжении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о проведении совместного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контрольного и экспертно-аналитического мероприятия дополнительно указываются: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сторонняя организация, участвующая в проведении совместного мероприятия;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– персональный состав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сотрудников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сотрудников сторонних организаций, направляемых на объекты контроля (при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формировании рабочих групп из представителей Сторон).</w:t>
      </w:r>
    </w:p>
    <w:p w:rsidR="002B30E9" w:rsidRPr="002B30E9" w:rsidRDefault="002B30E9" w:rsidP="00C2432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7. Проведение совместных и параллельных мероприятий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7.1. Проведение совместных и параллельных мероприятий осуществляется в соответствии с общими положениями и требованиями к проведению контрольных и экспертно-аналитических мероприятий, определенными Регламентом и </w:t>
      </w:r>
      <w:proofErr w:type="spellStart"/>
      <w:r w:rsidRPr="002B30E9">
        <w:rPr>
          <w:rFonts w:ascii="Times New Roman" w:eastAsia="TimesNewRomanPSMT" w:hAnsi="Times New Roman" w:cs="Times New Roman"/>
          <w:sz w:val="28"/>
          <w:szCs w:val="28"/>
        </w:rPr>
        <w:t>Стандтами</w:t>
      </w:r>
      <w:proofErr w:type="spell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(1и 2) и другими внутренними нормативными документами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7.2. При проведении совместного мероприятия по инициативе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Ревизионной комиссии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посредством формирования рабочих групп из представителей Сторон, руководство совместным мероприятием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осуществляет руководитель совместного мероприятия от 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>Ревизионной комиссии.</w:t>
      </w:r>
    </w:p>
    <w:p w:rsidR="002B30E9" w:rsidRPr="002B30E9" w:rsidRDefault="002B30E9" w:rsidP="00C2432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 проведении совместного мероприятия по инициативе сторонней организации посредством формирования общих рабочих групп из представителей Сторон, руководитель совместного мероприятия определяется по договоренности сторон.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При проведении совместного мероприятия посредством формирования</w:t>
      </w:r>
      <w:r w:rsidR="00C243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рабочих групп каждой стороной самостоятельно руководство совместным мероприятием осуществляется представителями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организации, участвующей в совместном мероприятии.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7.3. При необходимости руководителем совместного мероприятия разрабатывается рабочий план проведения совместного мероприятия на основе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программы совместного мероприятия, который представляет собой перечень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процедур (содержания работы), необходимых для выполнения программы совместного мероприятия. Типовая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форма рабочего плана проведения совместного мероприятия приведена в приложении 2.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7.4. Рабочий план проведения совместного мероприятия посредством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формирования общих рабочих групп из представителей Сторон подписывается руководителем совместного мероприятия и доводится до сведения всех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участников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7.5. Рабочий план содержит распределение конкретных заданий по выполнению программы совместного контрольного мероприятия между членами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группы с указанием сроков их исполнения.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7.6. В целях качественного проведения совместного мероприятия Сторонами осуществляется взаимодействие в следующих формах: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совместное осуществление контрольных действий на объектах;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рабочие совещания и консультации Сторон;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обмен нормативными и методическими документами;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обмен информацией;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– согласование методов проведения совместного мероприятия и др.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7.7. В случае возникновения между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комиссией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организацией разногласий по вопросам организации, проведения 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оформления результатов совместного мероприятия стороны для их разрешения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проводят переговоры, взаимные консультации и т.п.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8. Оформление результатов совместных и параллельных мероприятий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8.1. Оформление результатов совместных и параллельных мероприятий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осуществляется в соответствии с Регламентом и Стандартами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(1, 2) и другими внутренними нормативными документами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сторонних организаций.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8.2. При проведении совместного контрольного мероприятия посредством формирования общих рабочих групп из представителей Сторон составляется а</w:t>
      </w: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кт в тр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ёх экземплярах: 1-й оформляется для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, 2-й – для сторонней организации, 3-й – для объекта контроля.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Акт подписывают должностные лица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организации, проводившие мероприятие. В случае несогласия сотрудников одной из сторон с отраженными в акте фактами, он вправе при подписании акта указать на наличие своего особого мнения, которое является приложением к акту проверки. Особое мнение в письменном виде представляется в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двухдневный срок руководителю совместного контрольного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8.3. При проведении совместного мероприятия каждой Стороной самостоятельно и при проведении параллельного мероприятия акты составляются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каждой Стороной отдельно.</w:t>
      </w:r>
    </w:p>
    <w:p w:rsidR="002B30E9" w:rsidRPr="00E718AA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8.4. Степень и форма участия представителей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и сторонней организации в подготовке отчета (представлений, предписаний, информационных писем и других документов) согласовывается между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Сторонами, участвующими в его проведении, в том числе путем подписания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Решения (п. 5.1. настоящего Стандарта)</w:t>
      </w:r>
      <w:r w:rsidRPr="002B30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8.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. Состав и сроки предоставления информации о результатах совместного или параллельного мероприятия могут быть оговорены в Решении о проведении мероприятия.</w:t>
      </w: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30E9" w:rsidRPr="00E718AA" w:rsidRDefault="002B30E9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718AA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Приложение 1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Решение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 проведении _______________________</w:t>
      </w:r>
      <w:r w:rsidR="00E718AA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</w:t>
      </w: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/совместное или параллельное/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мероприятия _________________________</w:t>
      </w:r>
      <w:r w:rsidR="00E718AA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</w:t>
      </w: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/контрольное, экспертно-аналитическое/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__ __________ 20__ г. 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</w:r>
      <w:r w:rsidR="00E718AA"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       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г. Воронеж</w:t>
      </w:r>
    </w:p>
    <w:p w:rsidR="002B30E9" w:rsidRPr="002B30E9" w:rsidRDefault="00E718AA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  <w:r w:rsidR="002B30E9"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и____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</w:t>
      </w:r>
      <w:r w:rsidR="002B30E9" w:rsidRPr="002B30E9">
        <w:rPr>
          <w:rFonts w:ascii="Times New Roman" w:eastAsia="TimesNewRomanPSMT" w:hAnsi="Times New Roman" w:cs="Times New Roman"/>
          <w:sz w:val="28"/>
          <w:szCs w:val="28"/>
        </w:rPr>
        <w:t>___________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__________________________________________________________________,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/наименование организации/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B30E9">
        <w:rPr>
          <w:rFonts w:ascii="Times New Roman" w:eastAsia="TimesNewRomanPSMT" w:hAnsi="Times New Roman" w:cs="Times New Roman"/>
          <w:sz w:val="28"/>
          <w:szCs w:val="28"/>
        </w:rPr>
        <w:t>именуемые</w:t>
      </w:r>
      <w:proofErr w:type="gramEnd"/>
      <w:r w:rsidRPr="002B30E9">
        <w:rPr>
          <w:rFonts w:ascii="Times New Roman" w:eastAsia="TimesNewRomanPSMT" w:hAnsi="Times New Roman" w:cs="Times New Roman"/>
          <w:sz w:val="28"/>
          <w:szCs w:val="28"/>
        </w:rPr>
        <w:t xml:space="preserve"> в дальнейшем Сторонами, решили провести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 мероприятие</w:t>
      </w:r>
    </w:p>
    <w:p w:rsidR="002B30E9" w:rsidRPr="00E718AA" w:rsidRDefault="002B30E9" w:rsidP="002B30E9">
      <w:pPr>
        <w:pStyle w:val="a3"/>
        <w:jc w:val="both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/совместное или параллельное, контрольное, экспертно-аналитическое/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/наименование мероприятия/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________________________(далее – мероприятие).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/характеристика мероприятия, ответственные лица,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</w:t>
      </w:r>
    </w:p>
    <w:p w:rsidR="002B30E9" w:rsidRPr="00E718AA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вопросы взаимодействия сторон/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Настоящее Решение вступает в силу с момента подписания его обеими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Сторонами и действует до окончания мероприятия.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Действие Решения не может быть прекращено во время уже проводимого мероприятия до его полного завершения.</w:t>
      </w:r>
    </w:p>
    <w:p w:rsidR="002B30E9" w:rsidRPr="002B30E9" w:rsidRDefault="002B30E9" w:rsidP="00E718AA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Датой окончания мероприятия считается дата утверждения отчета по результатам мероприятия.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Составлено в ____ экземплярах.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Председатель</w:t>
      </w:r>
    </w:p>
    <w:p w:rsidR="002B30E9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</w:p>
    <w:p w:rsidR="00E718AA" w:rsidRPr="002B30E9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______________________ФИО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 _____________20__года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Руководитель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Сторонней организации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______________________ФИО</w:t>
      </w:r>
    </w:p>
    <w:p w:rsidR="002B30E9" w:rsidRP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____ _____________20__года</w:t>
      </w: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18AA" w:rsidRDefault="00E718AA" w:rsidP="002B30E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30E9" w:rsidRPr="00E718AA" w:rsidRDefault="002B30E9" w:rsidP="00E718AA">
      <w:pPr>
        <w:pStyle w:val="a3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718AA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Приложение 2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B30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Рабочий план проведения совместного мероприятия</w:t>
      </w:r>
    </w:p>
    <w:p w:rsidR="002B30E9" w:rsidRPr="002B30E9" w:rsidRDefault="002B30E9" w:rsidP="00E718AA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2B30E9">
        <w:rPr>
          <w:rFonts w:ascii="Times New Roman" w:eastAsia="TimesNewRomanPSMT" w:hAnsi="Times New Roman" w:cs="Times New Roman"/>
          <w:sz w:val="28"/>
          <w:szCs w:val="28"/>
        </w:rPr>
        <w:t>«_________________________________</w:t>
      </w:r>
      <w:r w:rsidR="00E718AA">
        <w:rPr>
          <w:rFonts w:ascii="Times New Roman" w:eastAsia="TimesNewRomanPSMT" w:hAnsi="Times New Roman" w:cs="Times New Roman"/>
          <w:sz w:val="28"/>
          <w:szCs w:val="28"/>
        </w:rPr>
        <w:t>_______________________________</w:t>
      </w:r>
      <w:r w:rsidRPr="002B30E9"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__________________________________________________________________»</w:t>
      </w:r>
    </w:p>
    <w:p w:rsidR="002B30E9" w:rsidRDefault="002B30E9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E718AA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/название мероприятия в соответствии с планом работы Контрольно-счётной палаты/</w:t>
      </w:r>
    </w:p>
    <w:tbl>
      <w:tblPr>
        <w:tblStyle w:val="a4"/>
        <w:tblW w:w="0" w:type="auto"/>
        <w:tblLook w:val="04A0"/>
      </w:tblPr>
      <w:tblGrid>
        <w:gridCol w:w="1116"/>
        <w:gridCol w:w="1478"/>
        <w:gridCol w:w="1706"/>
        <w:gridCol w:w="1488"/>
        <w:gridCol w:w="912"/>
        <w:gridCol w:w="1243"/>
        <w:gridCol w:w="1628"/>
      </w:tblGrid>
      <w:tr w:rsidR="00686C12" w:rsidRPr="00686C12" w:rsidTr="00F5498D">
        <w:trPr>
          <w:trHeight w:val="450"/>
        </w:trPr>
        <w:tc>
          <w:tcPr>
            <w:tcW w:w="1429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Объекты</w:t>
            </w:r>
          </w:p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контроля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576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Вопросы совместного мероприятия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785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Содержание работы (при необходимости)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580" w:type="dxa"/>
            <w:vMerge w:val="restart"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Исполнители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Сроки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</w:tr>
      <w:tr w:rsidR="00686C12" w:rsidRPr="00686C12" w:rsidTr="00686C12">
        <w:trPr>
          <w:trHeight w:val="564"/>
        </w:trPr>
        <w:tc>
          <w:tcPr>
            <w:tcW w:w="1429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576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785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580" w:type="dxa"/>
            <w:vMerge/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начала работы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о</w:t>
            </w: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кончания</w:t>
            </w:r>
          </w:p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работы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686C12" w:rsidRPr="00686C12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686C12">
              <w:rPr>
                <w:rFonts w:ascii="Times New Roman" w:eastAsia="TimesNewRomanPS-BoldMT" w:hAnsi="Times New Roman" w:cs="Times New Roman"/>
                <w:b/>
                <w:bCs/>
              </w:rPr>
              <w:t>представления материалов для подготовки отчета</w:t>
            </w:r>
          </w:p>
          <w:p w:rsidR="00686C12" w:rsidRP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</w:rPr>
            </w:pPr>
          </w:p>
        </w:tc>
      </w:tr>
      <w:tr w:rsidR="00686C12" w:rsidTr="00686C12">
        <w:tc>
          <w:tcPr>
            <w:tcW w:w="1429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76" w:type="dxa"/>
          </w:tcPr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а</w:t>
            </w: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б</w:t>
            </w: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85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86C12" w:rsidTr="00686C12">
        <w:tc>
          <w:tcPr>
            <w:tcW w:w="1429" w:type="dxa"/>
          </w:tcPr>
          <w:p w:rsidR="00686C12" w:rsidRPr="002B30E9" w:rsidRDefault="00686C12" w:rsidP="00686C12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B30E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686C12" w:rsidRPr="002B30E9" w:rsidRDefault="00686C12" w:rsidP="00E718AA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686C12" w:rsidRPr="002B30E9" w:rsidRDefault="00686C12" w:rsidP="00686C12">
            <w:pPr>
              <w:pStyle w:val="a3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:rsidR="00686C12" w:rsidRDefault="00686C12" w:rsidP="00E718AA">
            <w:pPr>
              <w:pStyle w:val="a3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86C12" w:rsidRPr="00E718AA" w:rsidRDefault="00686C12" w:rsidP="00E718AA">
      <w:pPr>
        <w:pStyle w:val="a3"/>
        <w:jc w:val="center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686C12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>Руководитель совместного мероприятия</w:t>
      </w:r>
      <w:r w:rsidRPr="00686C12">
        <w:rPr>
          <w:rFonts w:ascii="Times New Roman" w:eastAsia="TimesNewRomanPSMT" w:hAnsi="Times New Roman" w:cs="Times New Roman"/>
          <w:bCs/>
          <w:sz w:val="28"/>
          <w:szCs w:val="28"/>
        </w:rPr>
        <w:t xml:space="preserve">: </w:t>
      </w:r>
    </w:p>
    <w:p w:rsidR="00686C12" w:rsidRDefault="00686C12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2B30E9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="002B30E9"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="002B30E9"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2B30E9">
      <w:pPr>
        <w:pStyle w:val="a3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B30E9" w:rsidRDefault="002B30E9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 рабочим планом </w:t>
      </w:r>
      <w:proofErr w:type="gramStart"/>
      <w:r w:rsidRPr="00686C12">
        <w:rPr>
          <w:rFonts w:ascii="Times New Roman" w:eastAsia="TimesNewRomanPS-BoldMT" w:hAnsi="Times New Roman" w:cs="Times New Roman"/>
          <w:bCs/>
          <w:sz w:val="28"/>
          <w:szCs w:val="28"/>
        </w:rPr>
        <w:t>ознакомлены</w:t>
      </w:r>
      <w:proofErr w:type="gramEnd"/>
      <w:r w:rsidRPr="00686C12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Default="00686C12" w:rsidP="00686C12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____________________   __________________   _________________________</w:t>
      </w:r>
    </w:p>
    <w:p w:rsidR="00686C12" w:rsidRPr="00686C12" w:rsidRDefault="00686C12" w:rsidP="00686C12">
      <w:pPr>
        <w:pStyle w:val="a3"/>
        <w:ind w:firstLine="708"/>
        <w:jc w:val="both"/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   </w:t>
      </w:r>
      <w:r w:rsidRPr="00686C12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подпись)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 xml:space="preserve"> (инициалы и фамилия)</w:t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ab/>
      </w:r>
      <w:r w:rsidRPr="00686C12">
        <w:rPr>
          <w:rFonts w:ascii="Times New Roman" w:eastAsia="TimesNewRomanPS-ItalicMT" w:hAnsi="Times New Roman" w:cs="Times New Roman"/>
          <w:bCs/>
          <w:i/>
          <w:iCs/>
          <w:sz w:val="20"/>
          <w:szCs w:val="20"/>
        </w:rPr>
        <w:t>(должность и организация)</w:t>
      </w:r>
    </w:p>
    <w:p w:rsidR="00686C12" w:rsidRPr="00686C12" w:rsidRDefault="00686C12" w:rsidP="002B30E9">
      <w:pPr>
        <w:pStyle w:val="a3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sectPr w:rsidR="00686C12" w:rsidRPr="0068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30E9"/>
    <w:rsid w:val="002B30E9"/>
    <w:rsid w:val="00686C12"/>
    <w:rsid w:val="00695954"/>
    <w:rsid w:val="00B00244"/>
    <w:rsid w:val="00C2432D"/>
    <w:rsid w:val="00E7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9"/>
    <w:pPr>
      <w:spacing w:after="0" w:line="240" w:lineRule="auto"/>
    </w:pPr>
  </w:style>
  <w:style w:type="table" w:styleId="a4">
    <w:name w:val="Table Grid"/>
    <w:basedOn w:val="a1"/>
    <w:uiPriority w:val="59"/>
    <w:rsid w:val="0068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2017-09-18T12:42:00Z</dcterms:created>
  <dcterms:modified xsi:type="dcterms:W3CDTF">2017-09-18T13:39:00Z</dcterms:modified>
</cp:coreProperties>
</file>